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CB" w:rsidRPr="00EC0489" w:rsidRDefault="009863CB" w:rsidP="00EC0489">
      <w:pPr>
        <w:jc w:val="center"/>
        <w:rPr>
          <w:b/>
          <w:sz w:val="28"/>
        </w:rPr>
      </w:pPr>
      <w:r w:rsidRPr="00EC0489">
        <w:rPr>
          <w:b/>
          <w:sz w:val="28"/>
        </w:rPr>
        <w:t>Otras erratas</w:t>
      </w:r>
    </w:p>
    <w:p w:rsidR="00EC0489" w:rsidRDefault="00EC0489" w:rsidP="00EC0489">
      <w:pPr>
        <w:jc w:val="center"/>
      </w:pPr>
      <w:r>
        <w:t>Una propuesta de trabajo colectivo</w:t>
      </w:r>
    </w:p>
    <w:p w:rsidR="00EC0489" w:rsidRPr="00EC0489" w:rsidRDefault="00EC0489" w:rsidP="00EC0489">
      <w:pPr>
        <w:jc w:val="center"/>
        <w:rPr>
          <w:b/>
          <w:i/>
        </w:rPr>
      </w:pPr>
      <w:r w:rsidRPr="00EC0489">
        <w:rPr>
          <w:b/>
          <w:i/>
        </w:rPr>
        <w:t>Michel Sauval</w:t>
      </w:r>
    </w:p>
    <w:p w:rsidR="00EC0489" w:rsidRPr="00380F3B" w:rsidRDefault="008C1E32" w:rsidP="009863CB">
      <w:pPr>
        <w:rPr>
          <w:b/>
        </w:rPr>
      </w:pPr>
      <w:r w:rsidRPr="00380F3B">
        <w:rPr>
          <w:b/>
        </w:rPr>
        <w:t>Introducción</w:t>
      </w:r>
    </w:p>
    <w:p w:rsidR="009863CB" w:rsidRDefault="009863CB" w:rsidP="009863CB">
      <w:r w:rsidRPr="009863CB">
        <w:t>L</w:t>
      </w:r>
      <w:r w:rsidR="000B6DCD">
        <w:t>os</w:t>
      </w:r>
      <w:r w:rsidRPr="009863CB">
        <w:t xml:space="preserve"> problemas </w:t>
      </w:r>
      <w:r w:rsidR="000B6DCD">
        <w:t>que presentó la</w:t>
      </w:r>
      <w:r w:rsidRPr="009863CB">
        <w:t xml:space="preserve"> traducción </w:t>
      </w:r>
      <w:r w:rsidR="000B6DCD">
        <w:t>de</w:t>
      </w:r>
      <w:r w:rsidRPr="009863CB">
        <w:t xml:space="preserve"> los </w:t>
      </w:r>
      <w:r w:rsidR="00EC0489">
        <w:t>“E</w:t>
      </w:r>
      <w:r w:rsidRPr="009863CB">
        <w:t>scritos</w:t>
      </w:r>
      <w:r w:rsidR="00EC0489">
        <w:t>”</w:t>
      </w:r>
      <w:r w:rsidRPr="009863CB">
        <w:t xml:space="preserve"> de Lacan</w:t>
      </w:r>
      <w:r w:rsidR="000B6DCD">
        <w:t xml:space="preserve"> </w:t>
      </w:r>
      <w:r w:rsidR="000B6DCD" w:rsidRPr="000B6DCD">
        <w:t>al castellano</w:t>
      </w:r>
      <w:r w:rsidRPr="009863CB">
        <w:t xml:space="preserve"> podría</w:t>
      </w:r>
      <w:r w:rsidR="00074085">
        <w:t>n</w:t>
      </w:r>
      <w:r w:rsidRPr="009863CB">
        <w:t xml:space="preserve"> haber advertido a los </w:t>
      </w:r>
      <w:r w:rsidR="000B6DCD">
        <w:t>editores</w:t>
      </w:r>
      <w:r w:rsidRPr="009863CB">
        <w:t xml:space="preserve"> de la nueva </w:t>
      </w:r>
      <w:r w:rsidR="000B6DCD">
        <w:t>colección</w:t>
      </w:r>
      <w:r w:rsidRPr="009863CB">
        <w:t xml:space="preserve"> de </w:t>
      </w:r>
      <w:r w:rsidR="000B6DCD">
        <w:t>textos</w:t>
      </w:r>
      <w:r w:rsidRPr="009863CB">
        <w:t xml:space="preserve"> </w:t>
      </w:r>
      <w:r w:rsidR="000B6DCD">
        <w:t>reunida</w:t>
      </w:r>
      <w:r w:rsidRPr="009863CB">
        <w:t xml:space="preserve"> bajo el título de "Otros Escritos". Pero</w:t>
      </w:r>
      <w:r w:rsidR="00390205">
        <w:t>, como veremos,</w:t>
      </w:r>
      <w:r w:rsidRPr="009863CB">
        <w:t xml:space="preserve"> no parece haber sido el caso.</w:t>
      </w:r>
    </w:p>
    <w:p w:rsidR="000B6DCD" w:rsidRDefault="000B6DCD" w:rsidP="009863CB">
      <w:r>
        <w:t>La</w:t>
      </w:r>
      <w:r w:rsidRPr="000B6DCD">
        <w:t xml:space="preserve"> recopilación más importante </w:t>
      </w:r>
      <w:r>
        <w:t xml:space="preserve">de aquellos </w:t>
      </w:r>
      <w:r w:rsidR="00DD7338">
        <w:t xml:space="preserve">anteriores </w:t>
      </w:r>
      <w:r>
        <w:t xml:space="preserve">problemas </w:t>
      </w:r>
      <w:r w:rsidRPr="000B6DCD">
        <w:t xml:space="preserve">fue la que hizo Marcelo Pasternac en </w:t>
      </w:r>
      <w:r>
        <w:t xml:space="preserve">aquél libro de título tan explícito: </w:t>
      </w:r>
      <w:r w:rsidRPr="000B6DCD">
        <w:t>"</w:t>
      </w:r>
      <w:r w:rsidRPr="000B6DCD">
        <w:rPr>
          <w:i/>
        </w:rPr>
        <w:t>1236 errores, erratas, omisiones y discrepancias en los Escritos de Lacan en español</w:t>
      </w:r>
      <w:r w:rsidRPr="000B6DCD">
        <w:t>"</w:t>
      </w:r>
      <w:r w:rsidRPr="000B6DCD">
        <w:rPr>
          <w:vertAlign w:val="superscript"/>
        </w:rPr>
        <w:footnoteReference w:id="1"/>
      </w:r>
      <w:r>
        <w:t xml:space="preserve">. Gran parte de </w:t>
      </w:r>
      <w:r w:rsidR="000D783C">
        <w:t>esas correcciones</w:t>
      </w:r>
      <w:r>
        <w:t xml:space="preserve"> fueron tenid</w:t>
      </w:r>
      <w:r w:rsidR="000D783C">
        <w:t>a</w:t>
      </w:r>
      <w:r>
        <w:t>s en cuenta (aunque sin agradecimiento</w:t>
      </w:r>
      <w:r w:rsidR="000D783C">
        <w:t>s</w:t>
      </w:r>
      <w:r>
        <w:t xml:space="preserve"> o referencia</w:t>
      </w:r>
      <w:r w:rsidR="000D783C">
        <w:t>s</w:t>
      </w:r>
      <w:r>
        <w:t xml:space="preserve"> a la labor de Pasternac) en la reedición “revisada y corregida”</w:t>
      </w:r>
      <w:r>
        <w:rPr>
          <w:rStyle w:val="Refdenotaalpie"/>
        </w:rPr>
        <w:footnoteReference w:id="2"/>
      </w:r>
      <w:r>
        <w:t xml:space="preserve"> del 2008</w:t>
      </w:r>
      <w:r w:rsidR="00D11069">
        <w:t>, siempre a cargo de la editorial Siglo XXI.</w:t>
      </w:r>
    </w:p>
    <w:p w:rsidR="00D11069" w:rsidRDefault="00D11069" w:rsidP="009863CB">
      <w:r>
        <w:t>En el caso de esta nueva colección de escritos de Lacan, la editorial francesa es la misma</w:t>
      </w:r>
      <w:r w:rsidR="00DD7338">
        <w:t xml:space="preserve"> (</w:t>
      </w:r>
      <w:r>
        <w:t>Seuil</w:t>
      </w:r>
      <w:r w:rsidR="00DD7338">
        <w:t>)</w:t>
      </w:r>
      <w:r>
        <w:t xml:space="preserve">, pero la </w:t>
      </w:r>
      <w:r w:rsidR="00DD7338">
        <w:t xml:space="preserve">publicación de la </w:t>
      </w:r>
      <w:r w:rsidR="00390205">
        <w:t>versión castellana</w:t>
      </w:r>
      <w:r>
        <w:t xml:space="preserve"> pasó a manos de Paidós. </w:t>
      </w:r>
      <w:r w:rsidR="00DD7338">
        <w:t xml:space="preserve"> E</w:t>
      </w:r>
      <w:r>
        <w:t xml:space="preserve">l grueso de la traducción estuvo a cargo de Graciela Esperanza y Guy </w:t>
      </w:r>
      <w:proofErr w:type="spellStart"/>
      <w:r>
        <w:t>Trobas</w:t>
      </w:r>
      <w:proofErr w:type="spellEnd"/>
      <w:r>
        <w:t>.</w:t>
      </w:r>
      <w:r w:rsidR="00DD7338">
        <w:t xml:space="preserve"> Sin embargo, las </w:t>
      </w:r>
      <w:r w:rsidR="00DD7338" w:rsidRPr="00DD7338">
        <w:t xml:space="preserve">puntuales colaboraciones de Silvia Tendlarz, Vicente Palomera, Margarita Alvarez, Juan Luis </w:t>
      </w:r>
      <w:proofErr w:type="spellStart"/>
      <w:r w:rsidR="00DD7338" w:rsidRPr="00DD7338">
        <w:t>Delmont-Mauri</w:t>
      </w:r>
      <w:proofErr w:type="spellEnd"/>
      <w:r w:rsidR="00DD7338" w:rsidRPr="00DD7338">
        <w:t xml:space="preserve">, Julieta Sucre y Antoni </w:t>
      </w:r>
      <w:proofErr w:type="spellStart"/>
      <w:r w:rsidR="00DD7338" w:rsidRPr="00DD7338">
        <w:t>Vicens</w:t>
      </w:r>
      <w:proofErr w:type="spellEnd"/>
      <w:r w:rsidR="00DD7338" w:rsidRPr="00DD7338">
        <w:t>,</w:t>
      </w:r>
      <w:r w:rsidR="00DD7338">
        <w:t xml:space="preserve"> todos ellos miembros de la AMP, </w:t>
      </w:r>
      <w:r w:rsidR="00DD7338" w:rsidRPr="00DD7338">
        <w:t>junto a Jacques-Alain Miller</w:t>
      </w:r>
      <w:r w:rsidR="00DD7338">
        <w:t>, dan cuenta de cierta responsabilidad institucional en esta tarea</w:t>
      </w:r>
      <w:r w:rsidR="008877C3">
        <w:rPr>
          <w:rStyle w:val="Refdenotaalpie"/>
        </w:rPr>
        <w:footnoteReference w:id="3"/>
      </w:r>
      <w:r w:rsidR="00DD7338">
        <w:t xml:space="preserve">. De lo cual cabría esperar </w:t>
      </w:r>
      <w:r w:rsidR="00DC6524">
        <w:t>el</w:t>
      </w:r>
      <w:r w:rsidR="00DD7338">
        <w:t xml:space="preserve"> mayor cuidado y rigurosidad.</w:t>
      </w:r>
    </w:p>
    <w:p w:rsidR="00DA5368" w:rsidRDefault="00DD7338" w:rsidP="009863CB">
      <w:r>
        <w:t xml:space="preserve">Hay </w:t>
      </w:r>
      <w:r w:rsidR="00DC6524">
        <w:t>otra situación a tener en cuenta, además, para esta edición. A</w:t>
      </w:r>
      <w:r w:rsidR="009863CB" w:rsidRPr="009863CB">
        <w:t xml:space="preserve"> diferencia de </w:t>
      </w:r>
      <w:r>
        <w:t xml:space="preserve">lo que ocurriera </w:t>
      </w:r>
      <w:r w:rsidR="009863CB" w:rsidRPr="009863CB">
        <w:t>con</w:t>
      </w:r>
      <w:r>
        <w:t xml:space="preserve"> la traducción de</w:t>
      </w:r>
      <w:r w:rsidR="009863CB" w:rsidRPr="009863CB">
        <w:t xml:space="preserve"> los </w:t>
      </w:r>
      <w:r>
        <w:t>“</w:t>
      </w:r>
      <w:r w:rsidR="009863CB" w:rsidRPr="009863CB">
        <w:t>Escritos</w:t>
      </w:r>
      <w:r>
        <w:t>”</w:t>
      </w:r>
      <w:r w:rsidR="00DC6524">
        <w:rPr>
          <w:rStyle w:val="Refdenotaalpie"/>
        </w:rPr>
        <w:footnoteReference w:id="4"/>
      </w:r>
      <w:r w:rsidR="009863CB" w:rsidRPr="009863CB">
        <w:t xml:space="preserve">, la mayoría de </w:t>
      </w:r>
      <w:r>
        <w:t>los textos</w:t>
      </w:r>
      <w:r w:rsidR="009863CB" w:rsidRPr="009863CB">
        <w:t xml:space="preserve"> incluidos en esta nueva recopilación ya </w:t>
      </w:r>
      <w:r>
        <w:t>fue objeto de</w:t>
      </w:r>
      <w:r w:rsidR="009863CB" w:rsidRPr="009863CB">
        <w:t xml:space="preserve"> </w:t>
      </w:r>
      <w:r w:rsidR="00DC6524">
        <w:t>algún trabajo de</w:t>
      </w:r>
      <w:r w:rsidR="009863CB" w:rsidRPr="009863CB">
        <w:t xml:space="preserve"> traducción al castellano</w:t>
      </w:r>
      <w:r w:rsidR="00DC6524">
        <w:t>. Y</w:t>
      </w:r>
      <w:r>
        <w:t xml:space="preserve"> en </w:t>
      </w:r>
      <w:r w:rsidR="00DC6524">
        <w:t>algunos</w:t>
      </w:r>
      <w:r>
        <w:t xml:space="preserve"> casos, </w:t>
      </w:r>
      <w:r w:rsidR="00DC6524">
        <w:t xml:space="preserve">esa traducción fue </w:t>
      </w:r>
      <w:r>
        <w:t xml:space="preserve">motivo de grandes discusiones. Por ejemplo, </w:t>
      </w:r>
      <w:r w:rsidR="00DA5368">
        <w:t>el famoso principio</w:t>
      </w:r>
      <w:r>
        <w:t xml:space="preserve"> de la “Proposición….” </w:t>
      </w:r>
      <w:r w:rsidRPr="00DA5368">
        <w:t>de octubre de 1967</w:t>
      </w:r>
      <w:r w:rsidR="00DA5368" w:rsidRPr="00DA5368">
        <w:t>: “</w:t>
      </w:r>
      <w:r w:rsidR="00DA5368" w:rsidRPr="00DA5368">
        <w:rPr>
          <w:i/>
        </w:rPr>
        <w:t xml:space="preserve">le </w:t>
      </w:r>
      <w:proofErr w:type="spellStart"/>
      <w:r w:rsidR="00DA5368" w:rsidRPr="00DA5368">
        <w:rPr>
          <w:i/>
        </w:rPr>
        <w:t>psychanalyste</w:t>
      </w:r>
      <w:proofErr w:type="spellEnd"/>
      <w:r w:rsidR="00DA5368" w:rsidRPr="00DA5368">
        <w:rPr>
          <w:i/>
        </w:rPr>
        <w:t xml:space="preserve"> </w:t>
      </w:r>
      <w:proofErr w:type="spellStart"/>
      <w:r w:rsidR="00DA5368" w:rsidRPr="00DA5368">
        <w:rPr>
          <w:i/>
        </w:rPr>
        <w:t>ne</w:t>
      </w:r>
      <w:proofErr w:type="spellEnd"/>
      <w:r w:rsidR="00DA5368" w:rsidRPr="00DA5368">
        <w:rPr>
          <w:i/>
        </w:rPr>
        <w:t xml:space="preserve"> </w:t>
      </w:r>
      <w:proofErr w:type="spellStart"/>
      <w:r w:rsidR="00DA5368" w:rsidRPr="00DA5368">
        <w:rPr>
          <w:i/>
        </w:rPr>
        <w:t>s’autorise</w:t>
      </w:r>
      <w:proofErr w:type="spellEnd"/>
      <w:r w:rsidR="00DA5368" w:rsidRPr="00DA5368">
        <w:rPr>
          <w:i/>
        </w:rPr>
        <w:t xml:space="preserve"> que de lui-</w:t>
      </w:r>
      <w:proofErr w:type="spellStart"/>
      <w:r w:rsidR="00DA5368" w:rsidRPr="00DA5368">
        <w:rPr>
          <w:i/>
        </w:rPr>
        <w:t>même</w:t>
      </w:r>
      <w:proofErr w:type="spellEnd"/>
      <w:r w:rsidR="00DA5368" w:rsidRPr="00DA5368">
        <w:t>”</w:t>
      </w:r>
      <w:r w:rsidR="00DA5368">
        <w:rPr>
          <w:rStyle w:val="Refdenotaalpie"/>
        </w:rPr>
        <w:footnoteReference w:id="5"/>
      </w:r>
      <w:r w:rsidR="00DA5368" w:rsidRPr="00DA5368">
        <w:t xml:space="preserve">, y la discusión sobre cómo traducir </w:t>
      </w:r>
      <w:r w:rsidR="00DA5368">
        <w:t>“</w:t>
      </w:r>
      <w:r w:rsidR="00DA5368" w:rsidRPr="00DA5368">
        <w:rPr>
          <w:i/>
        </w:rPr>
        <w:t>de lui-</w:t>
      </w:r>
      <w:proofErr w:type="spellStart"/>
      <w:r w:rsidR="00DA5368" w:rsidRPr="00DA5368">
        <w:rPr>
          <w:i/>
        </w:rPr>
        <w:t>même</w:t>
      </w:r>
      <w:proofErr w:type="spellEnd"/>
      <w:r w:rsidR="00DA5368">
        <w:t>”</w:t>
      </w:r>
      <w:r w:rsidR="00DA5368" w:rsidRPr="00DA5368">
        <w:t xml:space="preserve">: o como </w:t>
      </w:r>
      <w:r w:rsidR="00DA5368">
        <w:t>“</w:t>
      </w:r>
      <w:r w:rsidR="00DA5368" w:rsidRPr="00DA5368">
        <w:t xml:space="preserve">de </w:t>
      </w:r>
      <w:r w:rsidR="00DA5368">
        <w:t>él mismo” o como “de sí mismo”.</w:t>
      </w:r>
      <w:r w:rsidR="009863CB" w:rsidRPr="009863CB">
        <w:t xml:space="preserve"> </w:t>
      </w:r>
    </w:p>
    <w:p w:rsidR="009863CB" w:rsidRPr="009863CB" w:rsidRDefault="00DA5368" w:rsidP="009863CB">
      <w:r>
        <w:lastRenderedPageBreak/>
        <w:t>Vale decir</w:t>
      </w:r>
      <w:r w:rsidR="009863CB" w:rsidRPr="009863CB">
        <w:t xml:space="preserve">, Graciela Esperanza disponía de propuestas de traducción previas, lo cual resalta las </w:t>
      </w:r>
      <w:r>
        <w:t>elecciones que ha tomado en cada caso, ya que esta traducción de “Otros Escritos” se presenta con validación “oficial”</w:t>
      </w:r>
      <w:r>
        <w:rPr>
          <w:rStyle w:val="Refdenotaalpie"/>
        </w:rPr>
        <w:footnoteReference w:id="6"/>
      </w:r>
      <w:r>
        <w:t xml:space="preserve"> y</w:t>
      </w:r>
      <w:r w:rsidR="00390205">
        <w:t>, por lo tanto, con pretensiones de d</w:t>
      </w:r>
      <w:r>
        <w:t>efinitiva</w:t>
      </w:r>
      <w:r w:rsidR="009863CB" w:rsidRPr="009863CB">
        <w:t>.</w:t>
      </w:r>
    </w:p>
    <w:p w:rsidR="00390205" w:rsidRDefault="00390205" w:rsidP="009863CB">
      <w:r>
        <w:t xml:space="preserve">Ahora bien, a medida que voy releyendo estos textos de Lacan en estas nuevas ediciones (tanto la francesa como la castellana),  voy encontrando errores, erratas, omisiones y discrepancias. No tengo disponibilidad para </w:t>
      </w:r>
      <w:r w:rsidR="00E73079">
        <w:t xml:space="preserve">emprender una corrección sistemática de todo el libro. Mi relectura de estos textos se realiza en el orden y temporalidad que </w:t>
      </w:r>
      <w:r w:rsidR="00074085">
        <w:t>van generando</w:t>
      </w:r>
      <w:r w:rsidR="00E73079">
        <w:t xml:space="preserve"> mis lecturas, estudio, clases, etc. Pero advertido ya de lo que ocurrió en su momento con los “Escritos”, </w:t>
      </w:r>
      <w:r w:rsidR="00074085">
        <w:t>pensé que sería útil</w:t>
      </w:r>
      <w:r w:rsidR="00E73079">
        <w:t xml:space="preserve"> </w:t>
      </w:r>
      <w:r w:rsidR="00E32FD3">
        <w:t>anotar</w:t>
      </w:r>
      <w:r w:rsidR="00E73079">
        <w:t xml:space="preserve"> y comentar los problemas que voy encontrando.</w:t>
      </w:r>
    </w:p>
    <w:p w:rsidR="00E73079" w:rsidRDefault="00E73079" w:rsidP="009863CB">
      <w:r>
        <w:t xml:space="preserve">Creo que esta es una tarea que podría desarrollarse colectivamente, recopilando en un </w:t>
      </w:r>
      <w:r w:rsidR="008C1E32">
        <w:t>texto</w:t>
      </w:r>
      <w:r>
        <w:t xml:space="preserve"> común los errores </w:t>
      </w:r>
      <w:r w:rsidR="008C1E32">
        <w:t xml:space="preserve">o problemas </w:t>
      </w:r>
      <w:r>
        <w:t xml:space="preserve">que </w:t>
      </w:r>
      <w:r w:rsidR="008C1E32">
        <w:t>cada cual vaya</w:t>
      </w:r>
      <w:r>
        <w:t xml:space="preserve"> detecta</w:t>
      </w:r>
      <w:r w:rsidR="008C1E32">
        <w:t>n</w:t>
      </w:r>
      <w:r>
        <w:t>do</w:t>
      </w:r>
      <w:r w:rsidR="008C1E32">
        <w:t xml:space="preserve">, con los correspondientes comentarios y reflexiones.  </w:t>
      </w:r>
    </w:p>
    <w:p w:rsidR="008C1E32" w:rsidRDefault="008C1E32" w:rsidP="009863CB">
      <w:r>
        <w:t xml:space="preserve">En esa perspectiva, </w:t>
      </w:r>
      <w:r w:rsidR="006F6897">
        <w:t>publicaremos</w:t>
      </w:r>
      <w:r>
        <w:t xml:space="preserve"> en el próximo número de Acheronta</w:t>
      </w:r>
      <w:r w:rsidR="00D760A7">
        <w:rPr>
          <w:rStyle w:val="Refdenotaalpie"/>
        </w:rPr>
        <w:footnoteReference w:id="7"/>
      </w:r>
      <w:r>
        <w:t>, la primera versión, o primer avance de esta reseña de problemas</w:t>
      </w:r>
      <w:r w:rsidR="006F6897">
        <w:t xml:space="preserve">, que luego </w:t>
      </w:r>
      <w:r>
        <w:t>iremos ampliando en los sucesivos números.</w:t>
      </w:r>
      <w:r w:rsidR="006F6897">
        <w:t xml:space="preserve"> Quienes quieran participar pueden enviarme sus colaboraciones, con los problemas de traducción que hayan detectado</w:t>
      </w:r>
    </w:p>
    <w:p w:rsidR="008C1E32" w:rsidRDefault="006F6897" w:rsidP="009863CB">
      <w:r>
        <w:t>Paso, entonces, a detallar</w:t>
      </w:r>
      <w:r w:rsidR="008C1E32">
        <w:t xml:space="preserve"> los primeros errores que llevo registrados</w:t>
      </w:r>
    </w:p>
    <w:p w:rsidR="00B234E8" w:rsidRDefault="00B234E8" w:rsidP="00C63EDD">
      <w:pPr>
        <w:rPr>
          <w:b/>
        </w:rPr>
      </w:pPr>
    </w:p>
    <w:p w:rsidR="00C63EDD" w:rsidRPr="00B234E8" w:rsidRDefault="00C63EDD" w:rsidP="00B234E8">
      <w:pPr>
        <w:jc w:val="center"/>
        <w:rPr>
          <w:b/>
          <w:sz w:val="24"/>
        </w:rPr>
      </w:pPr>
      <w:r w:rsidRPr="00B234E8">
        <w:rPr>
          <w:b/>
          <w:sz w:val="24"/>
        </w:rPr>
        <w:t>El principio de autorización</w:t>
      </w:r>
    </w:p>
    <w:p w:rsidR="00C63EDD" w:rsidRDefault="00C63EDD" w:rsidP="00C63EDD">
      <w:r>
        <w:t xml:space="preserve">Comencemos entonces con el famoso principio de autorización del analista, </w:t>
      </w:r>
      <w:r w:rsidR="00074085">
        <w:t xml:space="preserve">planteado </w:t>
      </w:r>
      <w:r>
        <w:t>en la “</w:t>
      </w:r>
      <w:r w:rsidRPr="00B234E8">
        <w:rPr>
          <w:i/>
        </w:rPr>
        <w:t>Proposición del 9 de octubre de 1967 sobre el psicoanalista de la escuela</w:t>
      </w:r>
      <w:r>
        <w:t>”, y retom</w:t>
      </w:r>
      <w:r w:rsidR="00011595">
        <w:t>ado</w:t>
      </w:r>
      <w:r>
        <w:t xml:space="preserve"> en otras ocasiones, posteriormente.</w:t>
      </w:r>
    </w:p>
    <w:p w:rsidR="00011595" w:rsidRDefault="00011595" w:rsidP="00C63EDD">
      <w:r>
        <w:t>Encontramos la frase de</w:t>
      </w:r>
      <w:r w:rsidR="00C63EDD">
        <w:t xml:space="preserve"> la “</w:t>
      </w:r>
      <w:r w:rsidR="00C63EDD" w:rsidRPr="00B234E8">
        <w:rPr>
          <w:i/>
        </w:rPr>
        <w:t>Proposición…</w:t>
      </w:r>
      <w:r w:rsidR="00C63EDD">
        <w:t xml:space="preserve">”, </w:t>
      </w:r>
      <w:r w:rsidR="00E558E4">
        <w:t>en la página 261</w:t>
      </w:r>
      <w:r>
        <w:t xml:space="preserve"> de “</w:t>
      </w:r>
      <w:r w:rsidRPr="00B234E8">
        <w:rPr>
          <w:i/>
        </w:rPr>
        <w:t>Otros escritos</w:t>
      </w:r>
      <w:r>
        <w:t>”</w:t>
      </w:r>
      <w:r w:rsidR="00B234E8">
        <w:rPr>
          <w:rStyle w:val="Refdenotaalpie"/>
        </w:rPr>
        <w:footnoteReference w:id="8"/>
      </w:r>
    </w:p>
    <w:p w:rsidR="00C63EDD" w:rsidRDefault="00C63EDD" w:rsidP="00B234E8">
      <w:pPr>
        <w:pStyle w:val="Prrafodelista"/>
        <w:numPr>
          <w:ilvl w:val="0"/>
          <w:numId w:val="2"/>
        </w:numPr>
      </w:pPr>
      <w:r w:rsidRPr="00C63EDD">
        <w:t>Página 261: “</w:t>
      </w:r>
      <w:r w:rsidRPr="00B234E8">
        <w:rPr>
          <w:i/>
        </w:rPr>
        <w:t xml:space="preserve">el psicoanalista no se autoriza sino </w:t>
      </w:r>
      <w:r w:rsidRPr="00B234E8">
        <w:rPr>
          <w:b/>
          <w:i/>
        </w:rPr>
        <w:t>a</w:t>
      </w:r>
      <w:r w:rsidRPr="00B234E8">
        <w:rPr>
          <w:i/>
        </w:rPr>
        <w:t xml:space="preserve"> </w:t>
      </w:r>
      <w:r w:rsidRPr="00B234E8">
        <w:rPr>
          <w:b/>
          <w:i/>
        </w:rPr>
        <w:t>sí mismo</w:t>
      </w:r>
      <w:r w:rsidRPr="00C63EDD">
        <w:t>”</w:t>
      </w:r>
    </w:p>
    <w:p w:rsidR="00011595" w:rsidRPr="00392DF7" w:rsidRDefault="00392DF7" w:rsidP="00011595">
      <w:pPr>
        <w:ind w:left="708"/>
        <w:rPr>
          <w:lang w:val="fr-FR"/>
        </w:rPr>
      </w:pPr>
      <w:r w:rsidRPr="00392DF7">
        <w:rPr>
          <w:lang w:val="fr-FR"/>
        </w:rPr>
        <w:t xml:space="preserve">En </w:t>
      </w:r>
      <w:proofErr w:type="spellStart"/>
      <w:r w:rsidRPr="00392DF7">
        <w:rPr>
          <w:lang w:val="fr-FR"/>
        </w:rPr>
        <w:t>francés</w:t>
      </w:r>
      <w:proofErr w:type="spellEnd"/>
      <w:r w:rsidRPr="00392DF7">
        <w:rPr>
          <w:lang w:val="fr-FR"/>
        </w:rPr>
        <w:t>: “</w:t>
      </w:r>
      <w:r w:rsidRPr="00392DF7">
        <w:rPr>
          <w:i/>
          <w:lang w:val="fr-FR"/>
        </w:rPr>
        <w:t xml:space="preserve">le psychanalyste ne s’autorise </w:t>
      </w:r>
      <w:r w:rsidRPr="00392DF7">
        <w:rPr>
          <w:b/>
          <w:i/>
          <w:lang w:val="fr-FR"/>
        </w:rPr>
        <w:t>que</w:t>
      </w:r>
      <w:r w:rsidRPr="00392DF7">
        <w:rPr>
          <w:i/>
          <w:lang w:val="fr-FR"/>
        </w:rPr>
        <w:t xml:space="preserve"> </w:t>
      </w:r>
      <w:r w:rsidRPr="00392DF7">
        <w:rPr>
          <w:b/>
          <w:i/>
          <w:lang w:val="fr-FR"/>
        </w:rPr>
        <w:t>de lui-même</w:t>
      </w:r>
      <w:r w:rsidRPr="00392DF7">
        <w:rPr>
          <w:lang w:val="fr-FR"/>
        </w:rPr>
        <w:t>”</w:t>
      </w:r>
      <w:r>
        <w:rPr>
          <w:lang w:val="fr-FR"/>
        </w:rPr>
        <w:t xml:space="preserve"> (página 243 de « Autres écrits »)</w:t>
      </w:r>
    </w:p>
    <w:p w:rsidR="00011595" w:rsidRDefault="00011595" w:rsidP="00C63EDD">
      <w:r>
        <w:t>Este principio reaparece en la “</w:t>
      </w:r>
      <w:r w:rsidRPr="00392DF7">
        <w:rPr>
          <w:b/>
          <w:i/>
        </w:rPr>
        <w:t>Nota Italiana</w:t>
      </w:r>
      <w:r>
        <w:t xml:space="preserve">”, en las </w:t>
      </w:r>
      <w:r w:rsidR="00392DF7">
        <w:t>siguientes páginas</w:t>
      </w:r>
      <w:r w:rsidR="00324897">
        <w:t xml:space="preserve"> de “Otros escritos”</w:t>
      </w:r>
      <w:r w:rsidR="00392DF7">
        <w:t>:</w:t>
      </w:r>
    </w:p>
    <w:p w:rsidR="00C63EDD" w:rsidRDefault="00C63EDD" w:rsidP="00B234E8">
      <w:pPr>
        <w:pStyle w:val="Prrafodelista"/>
        <w:numPr>
          <w:ilvl w:val="0"/>
          <w:numId w:val="2"/>
        </w:numPr>
      </w:pPr>
      <w:r w:rsidRPr="00C63EDD">
        <w:t>Página 327: “</w:t>
      </w:r>
      <w:r w:rsidRPr="00B234E8">
        <w:rPr>
          <w:i/>
        </w:rPr>
        <w:t xml:space="preserve">El analista no se autoriza sino </w:t>
      </w:r>
      <w:r w:rsidRPr="00B234E8">
        <w:rPr>
          <w:b/>
          <w:i/>
        </w:rPr>
        <w:t>por sí mismo</w:t>
      </w:r>
      <w:r w:rsidRPr="00C63EDD">
        <w:t>” (subrayado mío)</w:t>
      </w:r>
    </w:p>
    <w:p w:rsidR="00392DF7" w:rsidRPr="00392DF7" w:rsidRDefault="00392DF7" w:rsidP="00392DF7">
      <w:pPr>
        <w:ind w:left="708"/>
        <w:rPr>
          <w:lang w:val="fr-FR"/>
        </w:rPr>
      </w:pPr>
      <w:r w:rsidRPr="00392DF7">
        <w:rPr>
          <w:lang w:val="fr-FR"/>
        </w:rPr>
        <w:t xml:space="preserve">En </w:t>
      </w:r>
      <w:proofErr w:type="spellStart"/>
      <w:r w:rsidRPr="00392DF7">
        <w:rPr>
          <w:lang w:val="fr-FR"/>
        </w:rPr>
        <w:t>francés</w:t>
      </w:r>
      <w:proofErr w:type="spellEnd"/>
      <w:r w:rsidRPr="00392DF7">
        <w:rPr>
          <w:lang w:val="fr-FR"/>
        </w:rPr>
        <w:t xml:space="preserve"> es « </w:t>
      </w:r>
      <w:r w:rsidRPr="00392DF7">
        <w:rPr>
          <w:i/>
          <w:lang w:val="fr-FR"/>
        </w:rPr>
        <w:t xml:space="preserve">l’analyste de s’autorise que </w:t>
      </w:r>
      <w:r w:rsidRPr="00392DF7">
        <w:rPr>
          <w:b/>
          <w:i/>
          <w:lang w:val="fr-FR"/>
        </w:rPr>
        <w:t>de lui-même</w:t>
      </w:r>
      <w:r w:rsidRPr="00392DF7">
        <w:rPr>
          <w:i/>
          <w:lang w:val="fr-FR"/>
        </w:rPr>
        <w:t> </w:t>
      </w:r>
      <w:r w:rsidRPr="00392DF7">
        <w:rPr>
          <w:lang w:val="fr-FR"/>
        </w:rPr>
        <w:t xml:space="preserve">» </w:t>
      </w:r>
      <w:r>
        <w:rPr>
          <w:lang w:val="fr-FR"/>
        </w:rPr>
        <w:t xml:space="preserve">(página </w:t>
      </w:r>
      <w:r w:rsidR="00324897">
        <w:rPr>
          <w:lang w:val="fr-FR"/>
        </w:rPr>
        <w:t xml:space="preserve">307 </w:t>
      </w:r>
      <w:r>
        <w:rPr>
          <w:lang w:val="fr-FR"/>
        </w:rPr>
        <w:t>de « Autres écrits »)</w:t>
      </w:r>
    </w:p>
    <w:p w:rsidR="00C63EDD" w:rsidRPr="00C63EDD" w:rsidRDefault="00C63EDD" w:rsidP="00B234E8">
      <w:pPr>
        <w:pStyle w:val="Prrafodelista"/>
        <w:numPr>
          <w:ilvl w:val="0"/>
          <w:numId w:val="2"/>
        </w:numPr>
      </w:pPr>
      <w:r w:rsidRPr="00C63EDD">
        <w:lastRenderedPageBreak/>
        <w:t>Página 328: “</w:t>
      </w:r>
      <w:r w:rsidRPr="00B234E8">
        <w:rPr>
          <w:i/>
        </w:rPr>
        <w:t xml:space="preserve">Aquello por lo que tiene que velar es que, </w:t>
      </w:r>
      <w:r w:rsidRPr="00B234E8">
        <w:rPr>
          <w:b/>
          <w:i/>
        </w:rPr>
        <w:t>para</w:t>
      </w:r>
      <w:r w:rsidRPr="00B234E8">
        <w:rPr>
          <w:i/>
        </w:rPr>
        <w:t xml:space="preserve"> autorizarse </w:t>
      </w:r>
      <w:r w:rsidRPr="00B234E8">
        <w:rPr>
          <w:b/>
          <w:i/>
        </w:rPr>
        <w:t>por</w:t>
      </w:r>
      <w:r w:rsidRPr="00B234E8">
        <w:rPr>
          <w:i/>
        </w:rPr>
        <w:t xml:space="preserve"> </w:t>
      </w:r>
      <w:r w:rsidRPr="00B234E8">
        <w:rPr>
          <w:b/>
          <w:i/>
        </w:rPr>
        <w:t>sí mismo</w:t>
      </w:r>
      <w:r w:rsidRPr="00B234E8">
        <w:rPr>
          <w:i/>
        </w:rPr>
        <w:t xml:space="preserve"> no haya sino analista</w:t>
      </w:r>
      <w:r w:rsidRPr="00C63EDD">
        <w:t>” (subrayado mío)</w:t>
      </w:r>
    </w:p>
    <w:p w:rsidR="00C63EDD" w:rsidRPr="00C63EDD" w:rsidRDefault="00C63EDD" w:rsidP="00392DF7">
      <w:pPr>
        <w:ind w:left="708"/>
        <w:rPr>
          <w:lang w:val="fr-FR"/>
        </w:rPr>
      </w:pPr>
      <w:r w:rsidRPr="00C63EDD">
        <w:rPr>
          <w:lang w:val="fr-FR"/>
        </w:rPr>
        <w:t xml:space="preserve">En </w:t>
      </w:r>
      <w:proofErr w:type="spellStart"/>
      <w:r w:rsidRPr="00C63EDD">
        <w:rPr>
          <w:lang w:val="fr-FR"/>
        </w:rPr>
        <w:t>francés</w:t>
      </w:r>
      <w:proofErr w:type="spellEnd"/>
      <w:r w:rsidRPr="00C63EDD">
        <w:rPr>
          <w:lang w:val="fr-FR"/>
        </w:rPr>
        <w:t xml:space="preserve"> es "</w:t>
      </w:r>
      <w:r w:rsidRPr="00C63EDD">
        <w:rPr>
          <w:i/>
          <w:lang w:val="fr-FR"/>
        </w:rPr>
        <w:t>Ce à quoi il a à veiller, c’est qu’</w:t>
      </w:r>
      <w:r w:rsidRPr="00B234E8">
        <w:rPr>
          <w:b/>
          <w:i/>
          <w:lang w:val="fr-FR"/>
        </w:rPr>
        <w:t>à</w:t>
      </w:r>
      <w:r w:rsidRPr="00C63EDD">
        <w:rPr>
          <w:i/>
          <w:lang w:val="fr-FR"/>
        </w:rPr>
        <w:t xml:space="preserve"> s’autoriser </w:t>
      </w:r>
      <w:r w:rsidRPr="00392DF7">
        <w:rPr>
          <w:b/>
          <w:i/>
          <w:lang w:val="fr-FR"/>
        </w:rPr>
        <w:t>de</w:t>
      </w:r>
      <w:r w:rsidRPr="00C63EDD">
        <w:rPr>
          <w:i/>
          <w:lang w:val="fr-FR"/>
        </w:rPr>
        <w:t xml:space="preserve"> </w:t>
      </w:r>
      <w:r w:rsidRPr="00C63EDD">
        <w:rPr>
          <w:b/>
          <w:i/>
          <w:lang w:val="fr-FR"/>
        </w:rPr>
        <w:t>lui-même</w:t>
      </w:r>
      <w:r w:rsidRPr="00C63EDD">
        <w:rPr>
          <w:i/>
          <w:lang w:val="fr-FR"/>
        </w:rPr>
        <w:t xml:space="preserve"> il n’y ait que </w:t>
      </w:r>
      <w:r w:rsidRPr="00324897">
        <w:rPr>
          <w:b/>
          <w:i/>
          <w:lang w:val="fr-FR"/>
        </w:rPr>
        <w:t>de l’analyste</w:t>
      </w:r>
      <w:r w:rsidR="00392DF7" w:rsidRPr="00324897">
        <w:rPr>
          <w:b/>
          <w:lang w:val="fr-FR"/>
        </w:rPr>
        <w:t> </w:t>
      </w:r>
      <w:r w:rsidR="00392DF7">
        <w:rPr>
          <w:lang w:val="fr-FR"/>
        </w:rPr>
        <w:t xml:space="preserve">» (página </w:t>
      </w:r>
      <w:r w:rsidR="00324897">
        <w:rPr>
          <w:lang w:val="fr-FR"/>
        </w:rPr>
        <w:t xml:space="preserve">307 </w:t>
      </w:r>
      <w:r w:rsidR="00392DF7">
        <w:rPr>
          <w:lang w:val="fr-FR"/>
        </w:rPr>
        <w:t>de « Autres écrits »)</w:t>
      </w:r>
      <w:r w:rsidRPr="00C63EDD">
        <w:rPr>
          <w:lang w:val="fr-FR"/>
        </w:rPr>
        <w:t>.</w:t>
      </w:r>
    </w:p>
    <w:p w:rsidR="00413026" w:rsidRDefault="005F7B1E" w:rsidP="00B234E8">
      <w:pPr>
        <w:pStyle w:val="Prrafodelista"/>
        <w:numPr>
          <w:ilvl w:val="0"/>
          <w:numId w:val="2"/>
        </w:numPr>
      </w:pPr>
      <w:r>
        <w:t>Página 328: “</w:t>
      </w:r>
      <w:r w:rsidRPr="00B234E8">
        <w:rPr>
          <w:i/>
        </w:rPr>
        <w:t xml:space="preserve">Solo el analista, es decir no cualquiera, se autoriza únicamente </w:t>
      </w:r>
      <w:r w:rsidRPr="00B234E8">
        <w:rPr>
          <w:b/>
          <w:i/>
        </w:rPr>
        <w:t>por sí mismo</w:t>
      </w:r>
      <w:r>
        <w:t>”</w:t>
      </w:r>
    </w:p>
    <w:p w:rsidR="00413026" w:rsidRDefault="00413026" w:rsidP="00413026">
      <w:pPr>
        <w:ind w:left="708"/>
        <w:rPr>
          <w:bCs/>
          <w:lang w:val="fr-FR"/>
        </w:rPr>
      </w:pPr>
      <w:r w:rsidRPr="00AA6E64">
        <w:rPr>
          <w:lang w:val="fr-FR"/>
        </w:rPr>
        <w:t xml:space="preserve">En </w:t>
      </w:r>
      <w:proofErr w:type="spellStart"/>
      <w:r w:rsidRPr="00AA6E64">
        <w:rPr>
          <w:lang w:val="fr-FR"/>
        </w:rPr>
        <w:t>francés</w:t>
      </w:r>
      <w:proofErr w:type="spellEnd"/>
      <w:r w:rsidRPr="00AA6E64">
        <w:rPr>
          <w:lang w:val="fr-FR"/>
        </w:rPr>
        <w:t xml:space="preserve"> es </w:t>
      </w:r>
      <w:r w:rsidR="00AA6E64">
        <w:rPr>
          <w:lang w:val="fr-FR"/>
        </w:rPr>
        <w:t>« </w:t>
      </w:r>
      <w:r w:rsidRPr="00AA6E64">
        <w:rPr>
          <w:bCs/>
          <w:i/>
          <w:lang w:val="fr-FR"/>
        </w:rPr>
        <w:t xml:space="preserve">Seul l'analyste, soit pas n'importe qui, ne s'autorise que </w:t>
      </w:r>
      <w:r w:rsidRPr="00AA6E64">
        <w:rPr>
          <w:b/>
          <w:bCs/>
          <w:i/>
          <w:lang w:val="fr-FR"/>
        </w:rPr>
        <w:t>de lui-même</w:t>
      </w:r>
      <w:r w:rsidR="00AA6E64">
        <w:rPr>
          <w:b/>
          <w:bCs/>
          <w:lang w:val="fr-FR"/>
        </w:rPr>
        <w:t> </w:t>
      </w:r>
      <w:r w:rsidR="00AA6E64" w:rsidRPr="00AA6E64">
        <w:rPr>
          <w:bCs/>
          <w:lang w:val="fr-FR"/>
        </w:rPr>
        <w:t>» (página 308 de « Autres écrits »)</w:t>
      </w:r>
    </w:p>
    <w:p w:rsidR="00AA6E64" w:rsidRPr="00B234E8" w:rsidRDefault="005F7B1E" w:rsidP="00B234E8">
      <w:pPr>
        <w:pStyle w:val="Prrafodelista"/>
        <w:numPr>
          <w:ilvl w:val="0"/>
          <w:numId w:val="2"/>
        </w:numPr>
        <w:rPr>
          <w:bCs/>
        </w:rPr>
      </w:pPr>
      <w:r w:rsidRPr="00B234E8">
        <w:rPr>
          <w:bCs/>
        </w:rPr>
        <w:t>Página 329: “</w:t>
      </w:r>
      <w:r w:rsidRPr="00B234E8">
        <w:rPr>
          <w:bCs/>
          <w:i/>
        </w:rPr>
        <w:t xml:space="preserve">El analista, al no autorizarse sino </w:t>
      </w:r>
      <w:r w:rsidRPr="00B234E8">
        <w:rPr>
          <w:b/>
          <w:bCs/>
          <w:i/>
        </w:rPr>
        <w:t>por sí mismo</w:t>
      </w:r>
      <w:r w:rsidRPr="00B234E8">
        <w:rPr>
          <w:bCs/>
          <w:i/>
        </w:rPr>
        <w:t>, pasa su falta a los pasadores</w:t>
      </w:r>
      <w:r w:rsidRPr="00B234E8">
        <w:rPr>
          <w:bCs/>
        </w:rPr>
        <w:t>” </w:t>
      </w:r>
    </w:p>
    <w:p w:rsidR="00AA6E64" w:rsidRDefault="00AA6E64" w:rsidP="00AA6E64">
      <w:pPr>
        <w:ind w:left="708"/>
        <w:rPr>
          <w:bCs/>
          <w:lang w:val="fr-FR"/>
        </w:rPr>
      </w:pPr>
      <w:r>
        <w:rPr>
          <w:bCs/>
          <w:lang w:val="fr-FR"/>
        </w:rPr>
        <w:t xml:space="preserve">En </w:t>
      </w:r>
      <w:proofErr w:type="spellStart"/>
      <w:r>
        <w:rPr>
          <w:bCs/>
          <w:lang w:val="fr-FR"/>
        </w:rPr>
        <w:t>francés</w:t>
      </w:r>
      <w:proofErr w:type="spellEnd"/>
      <w:r>
        <w:rPr>
          <w:bCs/>
          <w:lang w:val="fr-FR"/>
        </w:rPr>
        <w:t xml:space="preserve"> es « </w:t>
      </w:r>
      <w:r w:rsidRPr="00AA6E64">
        <w:rPr>
          <w:bCs/>
          <w:i/>
          <w:lang w:val="fr-FR"/>
        </w:rPr>
        <w:t xml:space="preserve">L'analyste ne s'autorisant que </w:t>
      </w:r>
      <w:r w:rsidRPr="00AA6E64">
        <w:rPr>
          <w:b/>
          <w:bCs/>
          <w:i/>
          <w:lang w:val="fr-FR"/>
        </w:rPr>
        <w:t>de lui-même</w:t>
      </w:r>
      <w:r w:rsidRPr="00AA6E64">
        <w:rPr>
          <w:bCs/>
          <w:i/>
          <w:lang w:val="fr-FR"/>
        </w:rPr>
        <w:t>, sa faute passe aux passeurs</w:t>
      </w:r>
      <w:r w:rsidRPr="00AA6E64">
        <w:rPr>
          <w:bCs/>
          <w:lang w:val="fr-FR"/>
        </w:rPr>
        <w:t> »</w:t>
      </w:r>
      <w:r>
        <w:rPr>
          <w:bCs/>
          <w:lang w:val="fr-FR"/>
        </w:rPr>
        <w:t xml:space="preserve"> (página 309 de « Autres écrits »)</w:t>
      </w:r>
    </w:p>
    <w:p w:rsidR="00AA6E64" w:rsidRDefault="001E5CCE" w:rsidP="001E5CCE">
      <w:pPr>
        <w:rPr>
          <w:bCs/>
        </w:rPr>
      </w:pPr>
      <w:r w:rsidRPr="001E5CCE">
        <w:rPr>
          <w:bCs/>
        </w:rPr>
        <w:t xml:space="preserve">También en </w:t>
      </w:r>
      <w:r>
        <w:rPr>
          <w:bCs/>
        </w:rPr>
        <w:t>“</w:t>
      </w:r>
      <w:r w:rsidRPr="001E5CCE">
        <w:rPr>
          <w:b/>
          <w:bCs/>
          <w:i/>
        </w:rPr>
        <w:t>Televisión</w:t>
      </w:r>
      <w:r>
        <w:rPr>
          <w:bCs/>
        </w:rPr>
        <w:t>”</w:t>
      </w:r>
      <w:r w:rsidRPr="001E5CCE">
        <w:rPr>
          <w:bCs/>
        </w:rPr>
        <w:t>, en la siguiente p</w:t>
      </w:r>
      <w:r>
        <w:rPr>
          <w:bCs/>
        </w:rPr>
        <w:t>ágina de “</w:t>
      </w:r>
      <w:r w:rsidRPr="00B234E8">
        <w:rPr>
          <w:bCs/>
          <w:i/>
        </w:rPr>
        <w:t>Otros escritos</w:t>
      </w:r>
      <w:r>
        <w:rPr>
          <w:bCs/>
        </w:rPr>
        <w:t>”:</w:t>
      </w:r>
    </w:p>
    <w:p w:rsidR="001E5CCE" w:rsidRPr="00B234E8" w:rsidRDefault="001E5CCE" w:rsidP="00B234E8">
      <w:pPr>
        <w:pStyle w:val="Prrafodelista"/>
        <w:numPr>
          <w:ilvl w:val="0"/>
          <w:numId w:val="2"/>
        </w:numPr>
        <w:rPr>
          <w:bCs/>
        </w:rPr>
      </w:pPr>
      <w:r w:rsidRPr="00B234E8">
        <w:rPr>
          <w:bCs/>
        </w:rPr>
        <w:t>Página 557: “</w:t>
      </w:r>
      <w:r w:rsidRPr="00B234E8">
        <w:rPr>
          <w:bCs/>
          <w:i/>
        </w:rPr>
        <w:t xml:space="preserve">Profiero “el analista solo se autoriza </w:t>
      </w:r>
      <w:r w:rsidRPr="00B234E8">
        <w:rPr>
          <w:b/>
          <w:bCs/>
          <w:i/>
        </w:rPr>
        <w:t>por sí mismo</w:t>
      </w:r>
      <w:r w:rsidRPr="00B234E8">
        <w:rPr>
          <w:bCs/>
          <w:i/>
        </w:rPr>
        <w:t>”</w:t>
      </w:r>
      <w:r w:rsidRPr="00B234E8">
        <w:rPr>
          <w:bCs/>
        </w:rPr>
        <w:t xml:space="preserve"> “</w:t>
      </w:r>
    </w:p>
    <w:p w:rsidR="00AA6E64" w:rsidRPr="00AA6E64" w:rsidRDefault="00AA6E64" w:rsidP="00AA6E64">
      <w:pPr>
        <w:ind w:left="708"/>
        <w:rPr>
          <w:lang w:val="fr-FR"/>
        </w:rPr>
      </w:pPr>
      <w:r>
        <w:rPr>
          <w:bCs/>
          <w:lang w:val="fr-FR"/>
        </w:rPr>
        <w:t xml:space="preserve">En </w:t>
      </w:r>
      <w:proofErr w:type="spellStart"/>
      <w:r>
        <w:rPr>
          <w:bCs/>
          <w:lang w:val="fr-FR"/>
        </w:rPr>
        <w:t>francés</w:t>
      </w:r>
      <w:proofErr w:type="spellEnd"/>
      <w:r>
        <w:rPr>
          <w:bCs/>
          <w:lang w:val="fr-FR"/>
        </w:rPr>
        <w:t xml:space="preserve"> es « </w:t>
      </w:r>
      <w:r w:rsidRPr="00AA6E64">
        <w:rPr>
          <w:bCs/>
          <w:i/>
          <w:lang w:val="fr-FR"/>
        </w:rPr>
        <w:t xml:space="preserve">Je profère « l'analyste ne s'autorise que </w:t>
      </w:r>
      <w:r w:rsidRPr="001E5CCE">
        <w:rPr>
          <w:b/>
          <w:bCs/>
          <w:i/>
          <w:lang w:val="fr-FR"/>
        </w:rPr>
        <w:t>de lui-même</w:t>
      </w:r>
      <w:r w:rsidRPr="00AA6E64">
        <w:rPr>
          <w:bCs/>
          <w:i/>
          <w:lang w:val="fr-FR"/>
        </w:rPr>
        <w:t xml:space="preserve"> »</w:t>
      </w:r>
      <w:r w:rsidRPr="00AA6E64">
        <w:rPr>
          <w:bCs/>
          <w:lang w:val="fr-FR"/>
        </w:rPr>
        <w:t> »</w:t>
      </w:r>
      <w:r>
        <w:rPr>
          <w:bCs/>
          <w:lang w:val="fr-FR"/>
        </w:rPr>
        <w:t xml:space="preserve"> (página 531 de « Autres écrits »</w:t>
      </w:r>
      <w:r w:rsidR="001E5CCE">
        <w:rPr>
          <w:bCs/>
          <w:lang w:val="fr-FR"/>
        </w:rPr>
        <w:t>)</w:t>
      </w:r>
    </w:p>
    <w:p w:rsidR="004C66B1" w:rsidRDefault="0078070C" w:rsidP="00C63EDD">
      <w:r>
        <w:t>Este principio de</w:t>
      </w:r>
      <w:r w:rsidR="00C63EDD" w:rsidRPr="00C63EDD">
        <w:t xml:space="preserve"> autorización fue </w:t>
      </w:r>
      <w:r w:rsidR="00074085">
        <w:t xml:space="preserve">planteado </w:t>
      </w:r>
      <w:r w:rsidR="00C63EDD" w:rsidRPr="00C63EDD">
        <w:t xml:space="preserve">por primera vez en </w:t>
      </w:r>
      <w:r w:rsidR="007423FE">
        <w:t>el texto definitivo que tuvo</w:t>
      </w:r>
      <w:r w:rsidR="00C63EDD" w:rsidRPr="00C63EDD">
        <w:t xml:space="preserve"> la "</w:t>
      </w:r>
      <w:r w:rsidR="00C63EDD" w:rsidRPr="00C63EDD">
        <w:rPr>
          <w:i/>
          <w:iCs/>
        </w:rPr>
        <w:t>Proposición del 9 de octubre de 1967 sobre el psicoanalista de la Escuela</w:t>
      </w:r>
      <w:r w:rsidR="00C63EDD" w:rsidRPr="00C63EDD">
        <w:t xml:space="preserve">", </w:t>
      </w:r>
      <w:r w:rsidR="007423FE">
        <w:t>publicado</w:t>
      </w:r>
      <w:r w:rsidR="00C63EDD" w:rsidRPr="00C63EDD">
        <w:t xml:space="preserve"> en </w:t>
      </w:r>
      <w:r>
        <w:t xml:space="preserve">el primer número de </w:t>
      </w:r>
      <w:r w:rsidR="00C63EDD" w:rsidRPr="00C63EDD">
        <w:t>Scilicet</w:t>
      </w:r>
      <w:r>
        <w:t xml:space="preserve"> (en 1968). </w:t>
      </w:r>
      <w:r w:rsidR="007423FE">
        <w:t>No aparece en</w:t>
      </w:r>
      <w:r>
        <w:t xml:space="preserve"> la versión oral</w:t>
      </w:r>
      <w:r w:rsidR="007423FE">
        <w:t>,</w:t>
      </w:r>
      <w:r>
        <w:t xml:space="preserve"> es decir</w:t>
      </w:r>
      <w:r w:rsidR="007423FE">
        <w:t xml:space="preserve">, la que habría sido leída el 9 de octubre de 1967, que fue publicada recién en </w:t>
      </w:r>
      <w:r w:rsidR="004C66B1">
        <w:t>1978, en la colección “</w:t>
      </w:r>
      <w:proofErr w:type="spellStart"/>
      <w:r w:rsidR="004C66B1" w:rsidRPr="002D0C43">
        <w:rPr>
          <w:i/>
        </w:rPr>
        <w:t>Analytica</w:t>
      </w:r>
      <w:proofErr w:type="spellEnd"/>
      <w:r w:rsidR="004C66B1">
        <w:t xml:space="preserve">”, como suplemento del número 13 de la revista </w:t>
      </w:r>
      <w:r w:rsidR="004C66B1" w:rsidRPr="002D0C43">
        <w:rPr>
          <w:i/>
        </w:rPr>
        <w:t>Ornicar</w:t>
      </w:r>
      <w:r w:rsidR="004C66B1">
        <w:t>?</w:t>
      </w:r>
      <w:r w:rsidR="004C66B1">
        <w:rPr>
          <w:rStyle w:val="Refdenotaalpie"/>
        </w:rPr>
        <w:footnoteReference w:id="9"/>
      </w:r>
      <w:proofErr w:type="gramStart"/>
      <w:r w:rsidR="004C66B1">
        <w:t>.</w:t>
      </w:r>
      <w:proofErr w:type="gramEnd"/>
      <w:r w:rsidR="004C66B1">
        <w:t xml:space="preserve"> </w:t>
      </w:r>
    </w:p>
    <w:p w:rsidR="00FE2C1D" w:rsidRDefault="004E5D76" w:rsidP="00C63EDD">
      <w:r>
        <w:t>Esta fórmula</w:t>
      </w:r>
      <w:r w:rsidR="00BC7D8C">
        <w:t xml:space="preserve"> tuvo enormes consecuencias en el campo del psicoanálisis</w:t>
      </w:r>
      <w:r w:rsidR="002F52D8">
        <w:t>:</w:t>
      </w:r>
      <w:r>
        <w:t xml:space="preserve"> </w:t>
      </w:r>
      <w:r w:rsidRPr="004E5D76">
        <w:t>liberó radicalmente la práctica analítica del corset de la autorización institucional</w:t>
      </w:r>
      <w:r w:rsidR="00B75AAE">
        <w:t xml:space="preserve"> y</w:t>
      </w:r>
      <w:r w:rsidRPr="004E5D76">
        <w:t xml:space="preserve"> fue la estocada de muerte a la </w:t>
      </w:r>
      <w:r>
        <w:t>“</w:t>
      </w:r>
      <w:r w:rsidRPr="004E5D76">
        <w:t>jerarquía</w:t>
      </w:r>
      <w:r>
        <w:t>”</w:t>
      </w:r>
      <w:r w:rsidRPr="004E5D76">
        <w:t xml:space="preserve"> del didáctico y a la </w:t>
      </w:r>
      <w:r>
        <w:t>“</w:t>
      </w:r>
      <w:r w:rsidRPr="004E5D76">
        <w:t>garantía</w:t>
      </w:r>
      <w:r>
        <w:t>”</w:t>
      </w:r>
      <w:r w:rsidRPr="004E5D76">
        <w:t xml:space="preserve"> de la genealogía de los divanes. </w:t>
      </w:r>
      <w:r>
        <w:t xml:space="preserve">La amplitud de sus </w:t>
      </w:r>
      <w:r w:rsidR="00B75AAE">
        <w:t>efectos</w:t>
      </w:r>
      <w:r>
        <w:t xml:space="preserve"> se puso en evidencia cuando </w:t>
      </w:r>
      <w:r w:rsidRPr="004E5D76">
        <w:t xml:space="preserve">los </w:t>
      </w:r>
      <w:r>
        <w:t>mismos “</w:t>
      </w:r>
      <w:r w:rsidRPr="004E5D76">
        <w:t>lacanianos</w:t>
      </w:r>
      <w:r>
        <w:t xml:space="preserve">”, </w:t>
      </w:r>
      <w:r w:rsidR="00B75AAE">
        <w:t>llegad</w:t>
      </w:r>
      <w:r>
        <w:t xml:space="preserve">a la hora de defender sus propias </w:t>
      </w:r>
      <w:r w:rsidR="00B75AAE">
        <w:t>ortodoxias</w:t>
      </w:r>
      <w:r>
        <w:t xml:space="preserve"> institucionales, </w:t>
      </w:r>
      <w:r w:rsidR="00FE2C1D">
        <w:t>consideraron necesario restringir de algún modo ese planteo. El</w:t>
      </w:r>
      <w:r w:rsidR="006709A5">
        <w:t xml:space="preserve"> propio Lacan </w:t>
      </w:r>
      <w:r w:rsidR="00FE2C1D">
        <w:t xml:space="preserve">dio pie </w:t>
      </w:r>
      <w:r w:rsidR="00D06C05">
        <w:t xml:space="preserve">para ello en un breve comentario </w:t>
      </w:r>
      <w:r w:rsidR="00FE2C1D">
        <w:t xml:space="preserve">de su </w:t>
      </w:r>
      <w:r w:rsidR="006709A5">
        <w:t xml:space="preserve">seminario del 9 de abril de 1974, cuando </w:t>
      </w:r>
      <w:r w:rsidR="00FE2C1D">
        <w:t xml:space="preserve">señala que las fórmulas de la sexuación podrían expresarse de un modo similar al principio de autorización del analista: </w:t>
      </w:r>
      <w:r w:rsidR="00FE2C1D" w:rsidRPr="00FE2C1D">
        <w:t xml:space="preserve">« </w:t>
      </w:r>
      <w:proofErr w:type="spellStart"/>
      <w:r w:rsidR="00FE2C1D" w:rsidRPr="00FE2C1D">
        <w:rPr>
          <w:i/>
          <w:iCs/>
        </w:rPr>
        <w:t>l'être</w:t>
      </w:r>
      <w:proofErr w:type="spellEnd"/>
      <w:r w:rsidR="00FE2C1D" w:rsidRPr="00FE2C1D">
        <w:rPr>
          <w:i/>
          <w:iCs/>
        </w:rPr>
        <w:t xml:space="preserve"> </w:t>
      </w:r>
      <w:proofErr w:type="spellStart"/>
      <w:r w:rsidR="00FE2C1D" w:rsidRPr="00FE2C1D">
        <w:rPr>
          <w:i/>
          <w:iCs/>
        </w:rPr>
        <w:t>sexué</w:t>
      </w:r>
      <w:proofErr w:type="spellEnd"/>
      <w:r w:rsidR="00FE2C1D" w:rsidRPr="00FE2C1D">
        <w:rPr>
          <w:i/>
          <w:iCs/>
        </w:rPr>
        <w:t xml:space="preserve"> </w:t>
      </w:r>
      <w:proofErr w:type="spellStart"/>
      <w:r w:rsidR="00FE2C1D" w:rsidRPr="00FE2C1D">
        <w:rPr>
          <w:i/>
          <w:iCs/>
        </w:rPr>
        <w:t>ne</w:t>
      </w:r>
      <w:proofErr w:type="spellEnd"/>
      <w:r w:rsidR="00FE2C1D" w:rsidRPr="00FE2C1D">
        <w:rPr>
          <w:i/>
          <w:iCs/>
        </w:rPr>
        <w:t xml:space="preserve"> </w:t>
      </w:r>
      <w:proofErr w:type="spellStart"/>
      <w:r w:rsidR="00FE2C1D" w:rsidRPr="00FE2C1D">
        <w:rPr>
          <w:i/>
          <w:iCs/>
        </w:rPr>
        <w:t>s'autorise</w:t>
      </w:r>
      <w:proofErr w:type="spellEnd"/>
      <w:r w:rsidR="00FE2C1D" w:rsidRPr="00FE2C1D">
        <w:rPr>
          <w:i/>
          <w:iCs/>
        </w:rPr>
        <w:t xml:space="preserve"> que </w:t>
      </w:r>
      <w:r w:rsidR="00FE2C1D" w:rsidRPr="002D0C43">
        <w:rPr>
          <w:b/>
          <w:i/>
          <w:iCs/>
        </w:rPr>
        <w:t>de</w:t>
      </w:r>
      <w:r w:rsidR="00FE2C1D" w:rsidRPr="00FE2C1D">
        <w:rPr>
          <w:i/>
          <w:iCs/>
        </w:rPr>
        <w:t xml:space="preserve"> </w:t>
      </w:r>
      <w:r w:rsidR="00FE2C1D" w:rsidRPr="002D0C43">
        <w:rPr>
          <w:b/>
          <w:i/>
          <w:iCs/>
        </w:rPr>
        <w:t>lui-</w:t>
      </w:r>
      <w:proofErr w:type="spellStart"/>
      <w:r w:rsidR="00FE2C1D" w:rsidRPr="002D0C43">
        <w:rPr>
          <w:b/>
          <w:i/>
          <w:iCs/>
        </w:rPr>
        <w:t>même</w:t>
      </w:r>
      <w:proofErr w:type="spellEnd"/>
      <w:r w:rsidR="00FE2C1D" w:rsidRPr="00FE2C1D">
        <w:rPr>
          <w:i/>
          <w:iCs/>
        </w:rPr>
        <w:t xml:space="preserve"> </w:t>
      </w:r>
      <w:r w:rsidR="00FE2C1D" w:rsidRPr="00FE2C1D">
        <w:t>»</w:t>
      </w:r>
      <w:r w:rsidR="00FE2C1D">
        <w:t>, “</w:t>
      </w:r>
      <w:r w:rsidR="00FE2C1D" w:rsidRPr="001E6647">
        <w:rPr>
          <w:i/>
        </w:rPr>
        <w:t>el ser sexuado no se autoriza más que de él mismo</w:t>
      </w:r>
      <w:r w:rsidR="00FE2C1D">
        <w:t xml:space="preserve">”, </w:t>
      </w:r>
      <w:r w:rsidR="002D0C43">
        <w:t>si se le agrega</w:t>
      </w:r>
      <w:r w:rsidR="00FE2C1D">
        <w:t xml:space="preserve"> el complemento </w:t>
      </w:r>
      <w:r w:rsidR="00FE2C1D" w:rsidRPr="00FE2C1D">
        <w:t xml:space="preserve">« </w:t>
      </w:r>
      <w:r w:rsidR="00FE2C1D" w:rsidRPr="00FE2C1D">
        <w:rPr>
          <w:i/>
          <w:iCs/>
        </w:rPr>
        <w:t xml:space="preserve">et </w:t>
      </w:r>
      <w:r w:rsidR="00FE2C1D" w:rsidRPr="002D0C43">
        <w:rPr>
          <w:b/>
          <w:i/>
          <w:iCs/>
        </w:rPr>
        <w:t>de</w:t>
      </w:r>
      <w:r w:rsidR="00FE2C1D" w:rsidRPr="00FE2C1D">
        <w:rPr>
          <w:i/>
          <w:iCs/>
        </w:rPr>
        <w:t xml:space="preserve"> </w:t>
      </w:r>
      <w:proofErr w:type="spellStart"/>
      <w:r w:rsidR="00FE2C1D" w:rsidRPr="00FE2C1D">
        <w:rPr>
          <w:i/>
          <w:iCs/>
        </w:rPr>
        <w:t>quelques</w:t>
      </w:r>
      <w:proofErr w:type="spellEnd"/>
      <w:r w:rsidR="00FE2C1D" w:rsidRPr="00FE2C1D">
        <w:rPr>
          <w:i/>
          <w:iCs/>
        </w:rPr>
        <w:t xml:space="preserve"> </w:t>
      </w:r>
      <w:proofErr w:type="spellStart"/>
      <w:r w:rsidR="00FE2C1D" w:rsidRPr="00FE2C1D">
        <w:rPr>
          <w:i/>
          <w:iCs/>
        </w:rPr>
        <w:t>autres</w:t>
      </w:r>
      <w:proofErr w:type="spellEnd"/>
      <w:r w:rsidR="00FE2C1D" w:rsidRPr="00FE2C1D">
        <w:rPr>
          <w:i/>
          <w:iCs/>
        </w:rPr>
        <w:t xml:space="preserve"> </w:t>
      </w:r>
      <w:r w:rsidR="001E6647" w:rsidRPr="00FE2C1D">
        <w:t>»,</w:t>
      </w:r>
      <w:r w:rsidR="001E6647">
        <w:t xml:space="preserve"> </w:t>
      </w:r>
      <w:r w:rsidR="00FE2C1D">
        <w:t>“</w:t>
      </w:r>
      <w:r w:rsidR="00FE2C1D" w:rsidRPr="001E6647">
        <w:rPr>
          <w:i/>
        </w:rPr>
        <w:t>y de algunos otros</w:t>
      </w:r>
      <w:r w:rsidR="00FE2C1D">
        <w:t>”</w:t>
      </w:r>
      <w:r w:rsidR="002D0C43">
        <w:t xml:space="preserve"> (subrayados </w:t>
      </w:r>
      <w:r w:rsidR="00B234E8">
        <w:t>míos</w:t>
      </w:r>
      <w:r w:rsidR="002D0C43">
        <w:t>)</w:t>
      </w:r>
      <w:r w:rsidR="001E6647">
        <w:t xml:space="preserve">, que, según Lacan, </w:t>
      </w:r>
      <w:r w:rsidR="00074085">
        <w:t>podría</w:t>
      </w:r>
      <w:r w:rsidR="001E6647">
        <w:t xml:space="preserve"> “equilibrar” su decir anterior. </w:t>
      </w:r>
      <w:r w:rsidR="00D06C05">
        <w:t>No conozco otra ocasión en que Lacan haya retomado o insistido en ese “equilibrio”</w:t>
      </w:r>
      <w:r w:rsidR="00B234E8">
        <w:rPr>
          <w:rStyle w:val="Refdenotaalpie"/>
        </w:rPr>
        <w:footnoteReference w:id="10"/>
      </w:r>
      <w:r w:rsidR="00D06C05">
        <w:t xml:space="preserve">, pero fue suficiente para que en el ámbito lacaniano ese </w:t>
      </w:r>
      <w:r w:rsidR="00074085">
        <w:t>“</w:t>
      </w:r>
      <w:r w:rsidR="00D06C05">
        <w:t>complemento</w:t>
      </w:r>
      <w:r w:rsidR="00074085">
        <w:t>”</w:t>
      </w:r>
      <w:r w:rsidR="00D06C05">
        <w:t xml:space="preserve"> </w:t>
      </w:r>
      <w:r w:rsidR="00D06C05">
        <w:lastRenderedPageBreak/>
        <w:t>quedará “soldado” al principio, y la difusión habitual del mismo fuera tomando la forma de un aforismo</w:t>
      </w:r>
      <w:r w:rsidR="0088479F">
        <w:rPr>
          <w:rStyle w:val="Refdenotaalpie"/>
        </w:rPr>
        <w:footnoteReference w:id="11"/>
      </w:r>
      <w:r w:rsidR="00D06C05">
        <w:t>.</w:t>
      </w:r>
    </w:p>
    <w:p w:rsidR="002D0C43" w:rsidRDefault="00D06C05" w:rsidP="00C63EDD">
      <w:r>
        <w:t>El comentario viene al caso porque</w:t>
      </w:r>
      <w:r w:rsidR="002D0C43">
        <w:t xml:space="preserve">, más allá de la problemática de dicho principio, esta referencia viene a confirmar que, en francés, la </w:t>
      </w:r>
      <w:r w:rsidR="00C34C94">
        <w:t>fórmula (tal como lo he señalado en cada caso con las negritas)</w:t>
      </w:r>
      <w:r w:rsidR="002D0C43">
        <w:t xml:space="preserve"> siempre </w:t>
      </w:r>
      <w:r w:rsidR="00434963">
        <w:t>contiene</w:t>
      </w:r>
      <w:r w:rsidR="002D0C43">
        <w:t xml:space="preserve"> </w:t>
      </w:r>
    </w:p>
    <w:p w:rsidR="00D06C05" w:rsidRDefault="00434963" w:rsidP="002D0C43">
      <w:pPr>
        <w:pStyle w:val="Prrafodelista"/>
        <w:numPr>
          <w:ilvl w:val="0"/>
          <w:numId w:val="1"/>
        </w:numPr>
      </w:pPr>
      <w:r>
        <w:t xml:space="preserve">La preposición </w:t>
      </w:r>
      <w:r w:rsidR="002D0C43">
        <w:t>“</w:t>
      </w:r>
      <w:r w:rsidR="002D0C43" w:rsidRPr="003843C8">
        <w:rPr>
          <w:b/>
          <w:i/>
        </w:rPr>
        <w:t>de</w:t>
      </w:r>
      <w:r w:rsidR="002D0C43">
        <w:t xml:space="preserve">”, y no </w:t>
      </w:r>
      <w:r>
        <w:t xml:space="preserve">las preposiciones </w:t>
      </w:r>
      <w:r w:rsidR="002D0C43">
        <w:t>“</w:t>
      </w:r>
      <w:r w:rsidR="002D0C43" w:rsidRPr="002D0C43">
        <w:rPr>
          <w:i/>
        </w:rPr>
        <w:t>a</w:t>
      </w:r>
      <w:r w:rsidR="002D0C43">
        <w:t>”</w:t>
      </w:r>
      <w:r w:rsidR="003843C8">
        <w:t>,</w:t>
      </w:r>
      <w:r w:rsidR="002D0C43">
        <w:t xml:space="preserve"> </w:t>
      </w:r>
      <w:r>
        <w:t>o</w:t>
      </w:r>
      <w:r w:rsidR="002D0C43">
        <w:t xml:space="preserve"> “</w:t>
      </w:r>
      <w:r w:rsidR="002D0C43" w:rsidRPr="002D0C43">
        <w:rPr>
          <w:i/>
        </w:rPr>
        <w:t>par</w:t>
      </w:r>
      <w:r w:rsidR="002D0C43">
        <w:t>”</w:t>
      </w:r>
      <w:r w:rsidR="003843C8">
        <w:t xml:space="preserve">, </w:t>
      </w:r>
      <w:r>
        <w:t>o</w:t>
      </w:r>
      <w:r w:rsidR="003843C8">
        <w:t xml:space="preserve"> “</w:t>
      </w:r>
      <w:proofErr w:type="spellStart"/>
      <w:r w:rsidR="003843C8" w:rsidRPr="003843C8">
        <w:rPr>
          <w:i/>
        </w:rPr>
        <w:t>pour</w:t>
      </w:r>
      <w:proofErr w:type="spellEnd"/>
      <w:r w:rsidR="003843C8">
        <w:t>”</w:t>
      </w:r>
      <w:r w:rsidR="002D0C43">
        <w:t xml:space="preserve"> (es decir, </w:t>
      </w:r>
      <w:r>
        <w:t xml:space="preserve">la preposición </w:t>
      </w:r>
      <w:r w:rsidR="002D0C43">
        <w:t>“</w:t>
      </w:r>
      <w:r w:rsidR="002D0C43" w:rsidRPr="002D0C43">
        <w:rPr>
          <w:i/>
        </w:rPr>
        <w:t>de</w:t>
      </w:r>
      <w:r w:rsidR="002D0C43">
        <w:t xml:space="preserve">”, y no </w:t>
      </w:r>
      <w:r>
        <w:t xml:space="preserve">las preposiciones </w:t>
      </w:r>
      <w:r w:rsidR="002D0C43">
        <w:t>“</w:t>
      </w:r>
      <w:r w:rsidR="002D0C43" w:rsidRPr="002D0C43">
        <w:rPr>
          <w:i/>
        </w:rPr>
        <w:t>a</w:t>
      </w:r>
      <w:r w:rsidR="002D0C43">
        <w:t>“</w:t>
      </w:r>
      <w:r w:rsidR="003843C8">
        <w:t>,</w:t>
      </w:r>
      <w:r w:rsidR="002D0C43">
        <w:t xml:space="preserve"> ni “</w:t>
      </w:r>
      <w:r w:rsidR="002D0C43" w:rsidRPr="002D0C43">
        <w:rPr>
          <w:i/>
        </w:rPr>
        <w:t>por</w:t>
      </w:r>
      <w:r w:rsidR="002D0C43">
        <w:t>”</w:t>
      </w:r>
      <w:r w:rsidR="003843C8">
        <w:t>, ni “</w:t>
      </w:r>
      <w:r w:rsidR="003843C8" w:rsidRPr="003843C8">
        <w:rPr>
          <w:i/>
        </w:rPr>
        <w:t>para</w:t>
      </w:r>
      <w:r w:rsidR="003843C8">
        <w:t>”</w:t>
      </w:r>
      <w:r w:rsidR="002D0C43">
        <w:t>)</w:t>
      </w:r>
      <w:r w:rsidR="003843C8">
        <w:t xml:space="preserve"> (y ello, tanto en la fórmula del principio como en la del “complemento” propuesto en </w:t>
      </w:r>
      <w:r>
        <w:t>abril d</w:t>
      </w:r>
      <w:r w:rsidR="003843C8">
        <w:t>el 74</w:t>
      </w:r>
      <w:r w:rsidR="005F7B1E">
        <w:t>: “</w:t>
      </w:r>
      <w:r w:rsidR="005F7B1E" w:rsidRPr="005F7B1E">
        <w:rPr>
          <w:b/>
          <w:i/>
        </w:rPr>
        <w:t>de</w:t>
      </w:r>
      <w:r w:rsidR="005F7B1E" w:rsidRPr="005F7B1E">
        <w:rPr>
          <w:i/>
        </w:rPr>
        <w:t xml:space="preserve"> algunos otros</w:t>
      </w:r>
      <w:r w:rsidR="005F7B1E">
        <w:t>”</w:t>
      </w:r>
      <w:r w:rsidR="003843C8">
        <w:t>)</w:t>
      </w:r>
    </w:p>
    <w:p w:rsidR="002D0C43" w:rsidRDefault="00434963" w:rsidP="002D0C43">
      <w:pPr>
        <w:pStyle w:val="Prrafodelista"/>
        <w:numPr>
          <w:ilvl w:val="0"/>
          <w:numId w:val="1"/>
        </w:numPr>
      </w:pPr>
      <w:r>
        <w:t xml:space="preserve">La expresión </w:t>
      </w:r>
      <w:r w:rsidR="002D0C43">
        <w:t>“</w:t>
      </w:r>
      <w:r w:rsidR="002D0C43" w:rsidRPr="00B234E8">
        <w:rPr>
          <w:b/>
          <w:i/>
        </w:rPr>
        <w:t>lui-</w:t>
      </w:r>
      <w:proofErr w:type="spellStart"/>
      <w:r w:rsidR="002D0C43" w:rsidRPr="00B234E8">
        <w:rPr>
          <w:b/>
          <w:i/>
        </w:rPr>
        <w:t>même</w:t>
      </w:r>
      <w:proofErr w:type="spellEnd"/>
      <w:r w:rsidR="002D0C43">
        <w:t>”, y no “</w:t>
      </w:r>
      <w:proofErr w:type="spellStart"/>
      <w:r w:rsidR="002D0C43" w:rsidRPr="00434963">
        <w:rPr>
          <w:i/>
        </w:rPr>
        <w:t>soi-même</w:t>
      </w:r>
      <w:proofErr w:type="spellEnd"/>
      <w:r w:rsidR="002D0C43">
        <w:t>” (es decir, “</w:t>
      </w:r>
      <w:r w:rsidR="002D0C43" w:rsidRPr="002D0C43">
        <w:rPr>
          <w:i/>
        </w:rPr>
        <w:t>él mismo</w:t>
      </w:r>
      <w:r w:rsidR="002D0C43">
        <w:t>” y no “</w:t>
      </w:r>
      <w:r w:rsidR="002D0C43" w:rsidRPr="002D0C43">
        <w:rPr>
          <w:i/>
        </w:rPr>
        <w:t>si mismo</w:t>
      </w:r>
      <w:r w:rsidR="002D0C43">
        <w:t>”)</w:t>
      </w:r>
    </w:p>
    <w:p w:rsidR="00C63EDD" w:rsidRDefault="00434963" w:rsidP="00C63EDD">
      <w:r>
        <w:t>Sin embargo</w:t>
      </w:r>
      <w:r w:rsidR="002D0C43">
        <w:t>, a</w:t>
      </w:r>
      <w:r w:rsidR="00C63EDD" w:rsidRPr="00C63EDD">
        <w:t xml:space="preserve"> pesar del carácter "oficial" (es decir, </w:t>
      </w:r>
      <w:r>
        <w:t xml:space="preserve">con el </w:t>
      </w:r>
      <w:r w:rsidR="00C63EDD" w:rsidRPr="00C63EDD">
        <w:t>aval de Miller) que tuvo la traducción de Diana Rabinovich publicada en 1987: "</w:t>
      </w:r>
      <w:r w:rsidR="00C63EDD" w:rsidRPr="00C63EDD">
        <w:rPr>
          <w:i/>
          <w:iCs/>
        </w:rPr>
        <w:t xml:space="preserve">El analista solo se autoriza a partir </w:t>
      </w:r>
      <w:r w:rsidR="00C63EDD" w:rsidRPr="003843C8">
        <w:rPr>
          <w:b/>
          <w:i/>
          <w:iCs/>
        </w:rPr>
        <w:t>de</w:t>
      </w:r>
      <w:r w:rsidR="00C63EDD" w:rsidRPr="00C63EDD">
        <w:rPr>
          <w:b/>
          <w:bCs/>
          <w:i/>
          <w:iCs/>
        </w:rPr>
        <w:t> él mismo</w:t>
      </w:r>
      <w:r w:rsidR="00C63EDD" w:rsidRPr="00C63EDD">
        <w:t> "</w:t>
      </w:r>
      <w:r w:rsidR="00C63EDD" w:rsidRPr="00C63EDD">
        <w:rPr>
          <w:vertAlign w:val="superscript"/>
        </w:rPr>
        <w:footnoteReference w:id="12"/>
      </w:r>
      <w:r w:rsidR="003843C8">
        <w:t xml:space="preserve"> (subrayado </w:t>
      </w:r>
      <w:r>
        <w:t>mío</w:t>
      </w:r>
      <w:r w:rsidR="003843C8">
        <w:t>)</w:t>
      </w:r>
      <w:r w:rsidR="00C63EDD" w:rsidRPr="00C63EDD">
        <w:t>, por razones todavía no elucidadas, la misma fue progresiva y sistemáticamente sustituida, tanto entre los seguidores como entre los enemigos de Miller, por una variedad de otras expresiones</w:t>
      </w:r>
      <w:r w:rsidR="000C67E8">
        <w:rPr>
          <w:rStyle w:val="Refdenotaalpie"/>
        </w:rPr>
        <w:footnoteReference w:id="13"/>
      </w:r>
      <w:r w:rsidR="003843C8">
        <w:t xml:space="preserve">  - </w:t>
      </w:r>
      <w:r w:rsidR="003843C8" w:rsidRPr="003843C8">
        <w:t>"</w:t>
      </w:r>
      <w:r w:rsidR="003843C8" w:rsidRPr="003843C8">
        <w:rPr>
          <w:i/>
          <w:iCs/>
        </w:rPr>
        <w:t xml:space="preserve">El analista </w:t>
      </w:r>
      <w:r w:rsidR="003843C8" w:rsidRPr="00434963">
        <w:rPr>
          <w:b/>
          <w:i/>
          <w:iCs/>
        </w:rPr>
        <w:t>solo</w:t>
      </w:r>
      <w:r w:rsidR="003843C8" w:rsidRPr="003843C8">
        <w:rPr>
          <w:i/>
          <w:iCs/>
        </w:rPr>
        <w:t xml:space="preserve"> se autoriza </w:t>
      </w:r>
      <w:r w:rsidR="003843C8" w:rsidRPr="00434963">
        <w:rPr>
          <w:b/>
          <w:i/>
          <w:iCs/>
        </w:rPr>
        <w:t>a/de/para/por</w:t>
      </w:r>
      <w:r w:rsidR="003843C8" w:rsidRPr="003843C8">
        <w:t>…", "</w:t>
      </w:r>
      <w:r w:rsidR="003843C8" w:rsidRPr="003843C8">
        <w:rPr>
          <w:i/>
          <w:iCs/>
        </w:rPr>
        <w:t xml:space="preserve">El analista </w:t>
      </w:r>
      <w:r w:rsidR="003843C8" w:rsidRPr="00434963">
        <w:rPr>
          <w:b/>
          <w:i/>
          <w:iCs/>
        </w:rPr>
        <w:t>no</w:t>
      </w:r>
      <w:r w:rsidR="003843C8" w:rsidRPr="003843C8">
        <w:rPr>
          <w:i/>
          <w:iCs/>
        </w:rPr>
        <w:t xml:space="preserve"> se autoriza </w:t>
      </w:r>
      <w:r w:rsidR="003843C8" w:rsidRPr="00434963">
        <w:rPr>
          <w:b/>
          <w:i/>
          <w:iCs/>
        </w:rPr>
        <w:t>sino</w:t>
      </w:r>
      <w:r w:rsidR="003843C8" w:rsidRPr="003843C8">
        <w:rPr>
          <w:i/>
          <w:iCs/>
        </w:rPr>
        <w:t xml:space="preserve"> </w:t>
      </w:r>
      <w:r w:rsidR="003843C8" w:rsidRPr="00434963">
        <w:rPr>
          <w:b/>
          <w:i/>
          <w:iCs/>
        </w:rPr>
        <w:t>a/de/para/por</w:t>
      </w:r>
      <w:r w:rsidR="003843C8" w:rsidRPr="003843C8">
        <w:rPr>
          <w:i/>
          <w:iCs/>
        </w:rPr>
        <w:t>…</w:t>
      </w:r>
      <w:r w:rsidR="003843C8" w:rsidRPr="003843C8">
        <w:t xml:space="preserve">", etc. </w:t>
      </w:r>
      <w:r w:rsidR="003843C8">
        <w:t xml:space="preserve"> - </w:t>
      </w:r>
      <w:r w:rsidR="00C63EDD" w:rsidRPr="00C63EDD">
        <w:t xml:space="preserve">todas ellas concluyendo </w:t>
      </w:r>
      <w:r>
        <w:t>con</w:t>
      </w:r>
      <w:r w:rsidR="00C63EDD" w:rsidRPr="00C63EDD">
        <w:t xml:space="preserve"> "</w:t>
      </w:r>
      <w:r w:rsidR="00C63EDD" w:rsidRPr="00C63EDD">
        <w:rPr>
          <w:b/>
          <w:bCs/>
          <w:i/>
          <w:iCs/>
        </w:rPr>
        <w:t>sí mismo</w:t>
      </w:r>
      <w:r w:rsidR="00C63EDD" w:rsidRPr="00C63EDD">
        <w:t xml:space="preserve">". </w:t>
      </w:r>
    </w:p>
    <w:p w:rsidR="003843C8" w:rsidRPr="003843C8" w:rsidRDefault="003843C8" w:rsidP="003843C8">
      <w:r>
        <w:t>Respecto de la primera parte de la fórmula c</w:t>
      </w:r>
      <w:r w:rsidRPr="003843C8">
        <w:t>abe señalar que «</w:t>
      </w:r>
      <w:proofErr w:type="spellStart"/>
      <w:r w:rsidRPr="003843C8">
        <w:rPr>
          <w:i/>
          <w:iCs/>
        </w:rPr>
        <w:t>s'autoriser</w:t>
      </w:r>
      <w:proofErr w:type="spellEnd"/>
      <w:r w:rsidRPr="003843C8">
        <w:rPr>
          <w:i/>
          <w:iCs/>
        </w:rPr>
        <w:t xml:space="preserve"> </w:t>
      </w:r>
      <w:r w:rsidRPr="003843C8">
        <w:rPr>
          <w:b/>
          <w:i/>
          <w:iCs/>
        </w:rPr>
        <w:t>de</w:t>
      </w:r>
      <w:r w:rsidRPr="003843C8">
        <w:t>» es una expresión propia de la lengua francesa, que significa «</w:t>
      </w:r>
      <w:proofErr w:type="spellStart"/>
      <w:r w:rsidRPr="003843C8">
        <w:rPr>
          <w:i/>
        </w:rPr>
        <w:t>s'appuyer</w:t>
      </w:r>
      <w:proofErr w:type="spellEnd"/>
      <w:r w:rsidRPr="003843C8">
        <w:rPr>
          <w:i/>
        </w:rPr>
        <w:t xml:space="preserve"> </w:t>
      </w:r>
      <w:r w:rsidRPr="003843C8">
        <w:rPr>
          <w:b/>
          <w:i/>
        </w:rPr>
        <w:t>de</w:t>
      </w:r>
      <w:r w:rsidRPr="003843C8">
        <w:t>» (apoyarse de), «</w:t>
      </w:r>
      <w:r w:rsidRPr="003843C8">
        <w:rPr>
          <w:i/>
        </w:rPr>
        <w:t xml:space="preserve">se </w:t>
      </w:r>
      <w:proofErr w:type="spellStart"/>
      <w:r w:rsidRPr="003843C8">
        <w:rPr>
          <w:i/>
        </w:rPr>
        <w:t>prévaloir</w:t>
      </w:r>
      <w:proofErr w:type="spellEnd"/>
      <w:r w:rsidRPr="003843C8">
        <w:rPr>
          <w:i/>
        </w:rPr>
        <w:t xml:space="preserve"> </w:t>
      </w:r>
      <w:r w:rsidRPr="003843C8">
        <w:rPr>
          <w:b/>
          <w:i/>
        </w:rPr>
        <w:t>de</w:t>
      </w:r>
      <w:r w:rsidRPr="003843C8">
        <w:t>» (prevalecerse de), «</w:t>
      </w:r>
      <w:r w:rsidRPr="003843C8">
        <w:rPr>
          <w:i/>
        </w:rPr>
        <w:t xml:space="preserve">se </w:t>
      </w:r>
      <w:proofErr w:type="spellStart"/>
      <w:r w:rsidRPr="003843C8">
        <w:rPr>
          <w:i/>
        </w:rPr>
        <w:t>recommander</w:t>
      </w:r>
      <w:proofErr w:type="spellEnd"/>
      <w:r w:rsidRPr="003843C8">
        <w:rPr>
          <w:i/>
        </w:rPr>
        <w:t xml:space="preserve"> </w:t>
      </w:r>
      <w:r w:rsidRPr="003843C8">
        <w:rPr>
          <w:b/>
          <w:i/>
        </w:rPr>
        <w:t>de</w:t>
      </w:r>
      <w:r w:rsidRPr="003843C8">
        <w:t>» (recomendarse de)</w:t>
      </w:r>
      <w:r w:rsidR="00434963">
        <w:t>, donde la preposición utilizada es siempre “</w:t>
      </w:r>
      <w:r w:rsidR="00434963" w:rsidRPr="00B234E8">
        <w:rPr>
          <w:i/>
        </w:rPr>
        <w:t>de</w:t>
      </w:r>
      <w:r w:rsidR="00434963">
        <w:t>”</w:t>
      </w:r>
      <w:r w:rsidRPr="003843C8">
        <w:t xml:space="preserve">. </w:t>
      </w:r>
      <w:r w:rsidR="00434963">
        <w:t>Por lo tanto, l</w:t>
      </w:r>
      <w:r>
        <w:t xml:space="preserve">a traducción correcta es </w:t>
      </w:r>
      <w:r w:rsidRPr="003843C8">
        <w:t>"se </w:t>
      </w:r>
      <w:r w:rsidRPr="003843C8">
        <w:rPr>
          <w:i/>
          <w:iCs/>
        </w:rPr>
        <w:t xml:space="preserve">autoriza </w:t>
      </w:r>
      <w:r w:rsidRPr="00AF39D8">
        <w:rPr>
          <w:b/>
          <w:i/>
          <w:iCs/>
        </w:rPr>
        <w:t>de</w:t>
      </w:r>
      <w:r w:rsidRPr="003843C8">
        <w:t>"</w:t>
      </w:r>
      <w:r w:rsidR="00B234E8">
        <w:t>. Veremos más adelante a qué</w:t>
      </w:r>
      <w:r w:rsidR="0088479F">
        <w:t xml:space="preserve"> finalidad </w:t>
      </w:r>
      <w:r w:rsidR="00B234E8">
        <w:t>responde</w:t>
      </w:r>
      <w:r w:rsidR="0088479F">
        <w:t xml:space="preserve"> </w:t>
      </w:r>
      <w:r w:rsidR="00B234E8">
        <w:t xml:space="preserve">la sustitución de </w:t>
      </w:r>
      <w:r w:rsidR="000C67E8">
        <w:t>la preposición “de” por la</w:t>
      </w:r>
      <w:r w:rsidR="0088479F">
        <w:t xml:space="preserve"> </w:t>
      </w:r>
      <w:r w:rsidR="000C67E8">
        <w:t>preposición</w:t>
      </w:r>
      <w:r w:rsidR="0088479F">
        <w:t xml:space="preserve"> “</w:t>
      </w:r>
      <w:r w:rsidR="0088479F" w:rsidRPr="00434963">
        <w:rPr>
          <w:i/>
        </w:rPr>
        <w:t>por</w:t>
      </w:r>
      <w:r w:rsidR="0088479F">
        <w:t>”</w:t>
      </w:r>
      <w:r w:rsidR="000C67E8">
        <w:t>, como hace Esperanza en estas traducciones de “Otros escritos”</w:t>
      </w:r>
      <w:r w:rsidR="005E523C">
        <w:t xml:space="preserve"> (o</w:t>
      </w:r>
      <w:r w:rsidR="005E523C" w:rsidRPr="005E523C">
        <w:t xml:space="preserve"> por las preposiciones “</w:t>
      </w:r>
      <w:r w:rsidR="005E523C" w:rsidRPr="005E523C">
        <w:rPr>
          <w:i/>
        </w:rPr>
        <w:t>para</w:t>
      </w:r>
      <w:r w:rsidR="005E523C" w:rsidRPr="005E523C">
        <w:t>” o “</w:t>
      </w:r>
      <w:r w:rsidR="005E523C" w:rsidRPr="005E523C">
        <w:rPr>
          <w:i/>
        </w:rPr>
        <w:t>a</w:t>
      </w:r>
      <w:r w:rsidR="005E523C" w:rsidRPr="005E523C">
        <w:t>”, que se pueden encontrar en otras traducciones y versiones</w:t>
      </w:r>
      <w:r w:rsidR="005E523C">
        <w:t>)</w:t>
      </w:r>
      <w:r w:rsidR="000C67E8">
        <w:t>.</w:t>
      </w:r>
    </w:p>
    <w:p w:rsidR="00C63EDD" w:rsidRPr="00C63EDD" w:rsidRDefault="00074085" w:rsidP="00C63EDD">
      <w:r>
        <w:t>Por su parte,</w:t>
      </w:r>
      <w:r w:rsidR="0088479F">
        <w:t xml:space="preserve"> la </w:t>
      </w:r>
      <w:r w:rsidR="00C63EDD" w:rsidRPr="00C63EDD">
        <w:t>sustitución de "</w:t>
      </w:r>
      <w:r w:rsidR="00C63EDD" w:rsidRPr="00C63EDD">
        <w:rPr>
          <w:b/>
          <w:bCs/>
          <w:i/>
          <w:iCs/>
        </w:rPr>
        <w:t>él mismo</w:t>
      </w:r>
      <w:r w:rsidR="00C63EDD" w:rsidRPr="00C63EDD">
        <w:t>" por "</w:t>
      </w:r>
      <w:r w:rsidR="00C63EDD" w:rsidRPr="00C63EDD">
        <w:rPr>
          <w:b/>
          <w:bCs/>
          <w:i/>
          <w:iCs/>
        </w:rPr>
        <w:t>sí mismo</w:t>
      </w:r>
      <w:r w:rsidR="00C63EDD" w:rsidRPr="00C63EDD">
        <w:t>"</w:t>
      </w:r>
      <w:r w:rsidR="0088479F">
        <w:t>,</w:t>
      </w:r>
      <w:r w:rsidR="00C63EDD" w:rsidRPr="00C63EDD">
        <w:t xml:space="preserve"> </w:t>
      </w:r>
      <w:r>
        <w:t>quedaría</w:t>
      </w:r>
      <w:r w:rsidR="0088479F">
        <w:t xml:space="preserve"> </w:t>
      </w:r>
      <w:r w:rsidR="00C63EDD" w:rsidRPr="00C63EDD">
        <w:t xml:space="preserve">convalidada y sancionada </w:t>
      </w:r>
      <w:r w:rsidR="00434963">
        <w:t>por</w:t>
      </w:r>
      <w:r w:rsidR="00C63EDD" w:rsidRPr="00C63EDD">
        <w:t xml:space="preserve"> </w:t>
      </w:r>
      <w:r w:rsidR="00434963">
        <w:t>est</w:t>
      </w:r>
      <w:r w:rsidR="00C63EDD" w:rsidRPr="00C63EDD">
        <w:t>a</w:t>
      </w:r>
      <w:r w:rsidR="005E523C">
        <w:t>s</w:t>
      </w:r>
      <w:r w:rsidR="00C63EDD" w:rsidRPr="00C63EDD">
        <w:t xml:space="preserve"> nueva</w:t>
      </w:r>
      <w:r w:rsidR="005E523C">
        <w:t>s</w:t>
      </w:r>
      <w:r w:rsidR="00C63EDD" w:rsidRPr="00C63EDD">
        <w:t xml:space="preserve"> traducci</w:t>
      </w:r>
      <w:r w:rsidR="005E523C">
        <w:t>o</w:t>
      </w:r>
      <w:r w:rsidR="00C63EDD" w:rsidRPr="00C63EDD">
        <w:t>n</w:t>
      </w:r>
      <w:r w:rsidR="005E523C">
        <w:t>es</w:t>
      </w:r>
      <w:r w:rsidR="00C63EDD" w:rsidRPr="00C63EDD">
        <w:t xml:space="preserve"> </w:t>
      </w:r>
      <w:r w:rsidR="005E523C">
        <w:t>de</w:t>
      </w:r>
      <w:r w:rsidR="00C63EDD" w:rsidRPr="00C63EDD">
        <w:t xml:space="preserve"> Esperanza</w:t>
      </w:r>
      <w:r w:rsidR="005E523C">
        <w:t xml:space="preserve"> en “</w:t>
      </w:r>
      <w:r w:rsidR="005E523C" w:rsidRPr="005E523C">
        <w:rPr>
          <w:i/>
        </w:rPr>
        <w:t>Otros escritos</w:t>
      </w:r>
      <w:r w:rsidR="005E523C">
        <w:t>”</w:t>
      </w:r>
      <w:r w:rsidR="00C63EDD" w:rsidRPr="00C63EDD">
        <w:t xml:space="preserve">, tanto </w:t>
      </w:r>
      <w:r w:rsidR="005E523C">
        <w:t xml:space="preserve">en el caso </w:t>
      </w:r>
      <w:r w:rsidR="00C63EDD" w:rsidRPr="00C63EDD">
        <w:t>de la "</w:t>
      </w:r>
      <w:r w:rsidR="00C63EDD" w:rsidRPr="00C63EDD">
        <w:rPr>
          <w:i/>
          <w:iCs/>
        </w:rPr>
        <w:t>Proposición…</w:t>
      </w:r>
      <w:r w:rsidR="00C63EDD" w:rsidRPr="00C63EDD">
        <w:t xml:space="preserve">"  </w:t>
      </w:r>
      <w:r w:rsidR="005E523C">
        <w:t>(</w:t>
      </w:r>
      <w:proofErr w:type="gramStart"/>
      <w:r w:rsidR="005E523C">
        <w:t>página</w:t>
      </w:r>
      <w:proofErr w:type="gramEnd"/>
      <w:r w:rsidR="005E523C">
        <w:t xml:space="preserve"> 261</w:t>
      </w:r>
      <w:r w:rsidR="00C63EDD" w:rsidRPr="00C63EDD">
        <w:t xml:space="preserve">), </w:t>
      </w:r>
      <w:r w:rsidR="00434963">
        <w:t xml:space="preserve">como de </w:t>
      </w:r>
      <w:r w:rsidR="00434963" w:rsidRPr="00434963">
        <w:t>la "</w:t>
      </w:r>
      <w:r w:rsidR="00434963" w:rsidRPr="00434963">
        <w:rPr>
          <w:i/>
          <w:iCs/>
        </w:rPr>
        <w:t>Nota italiana</w:t>
      </w:r>
      <w:r w:rsidR="00434963" w:rsidRPr="00434963">
        <w:t>" (</w:t>
      </w:r>
      <w:r w:rsidR="005E523C">
        <w:t>páginas 327, 328 y 329</w:t>
      </w:r>
      <w:r w:rsidR="00434963" w:rsidRPr="00434963">
        <w:t>)</w:t>
      </w:r>
      <w:r w:rsidR="005F7B1E">
        <w:t xml:space="preserve"> </w:t>
      </w:r>
      <w:r>
        <w:t xml:space="preserve">y </w:t>
      </w:r>
      <w:r w:rsidR="005F7B1E">
        <w:t>de “</w:t>
      </w:r>
      <w:r w:rsidR="005F7B1E" w:rsidRPr="005F7B1E">
        <w:rPr>
          <w:i/>
        </w:rPr>
        <w:t>Televisión</w:t>
      </w:r>
      <w:r w:rsidR="005F7B1E">
        <w:t>”</w:t>
      </w:r>
      <w:r w:rsidR="005E523C">
        <w:t xml:space="preserve"> (página 557)</w:t>
      </w:r>
    </w:p>
    <w:p w:rsidR="00C63EDD" w:rsidRPr="00C63EDD" w:rsidRDefault="00C63EDD" w:rsidP="00C63EDD">
      <w:r w:rsidRPr="00C63EDD">
        <w:t>"</w:t>
      </w:r>
      <w:r w:rsidRPr="00C63EDD">
        <w:rPr>
          <w:i/>
          <w:iCs/>
        </w:rPr>
        <w:t>Si mismo</w:t>
      </w:r>
      <w:r w:rsidRPr="00C63EDD">
        <w:t>", en francés, es "</w:t>
      </w:r>
      <w:proofErr w:type="spellStart"/>
      <w:r w:rsidRPr="00C63EDD">
        <w:rPr>
          <w:i/>
          <w:iCs/>
        </w:rPr>
        <w:t>soi</w:t>
      </w:r>
      <w:proofErr w:type="spellEnd"/>
      <w:r w:rsidRPr="00C63EDD">
        <w:rPr>
          <w:i/>
          <w:iCs/>
        </w:rPr>
        <w:t xml:space="preserve"> </w:t>
      </w:r>
      <w:proofErr w:type="spellStart"/>
      <w:r w:rsidRPr="00C63EDD">
        <w:rPr>
          <w:i/>
          <w:iCs/>
        </w:rPr>
        <w:t>même</w:t>
      </w:r>
      <w:proofErr w:type="spellEnd"/>
      <w:r w:rsidRPr="00C63EDD">
        <w:t>", que no es lo que escribe Lacan. No es lo mismo el pronombre reflexivo "</w:t>
      </w:r>
      <w:proofErr w:type="spellStart"/>
      <w:r w:rsidRPr="00C63EDD">
        <w:rPr>
          <w:i/>
          <w:iCs/>
        </w:rPr>
        <w:t>soi</w:t>
      </w:r>
      <w:proofErr w:type="spellEnd"/>
      <w:r w:rsidRPr="00C63EDD">
        <w:t>" que el pronombre de la tercera persona "</w:t>
      </w:r>
      <w:r w:rsidRPr="00C63EDD">
        <w:rPr>
          <w:i/>
          <w:iCs/>
        </w:rPr>
        <w:t>lui</w:t>
      </w:r>
      <w:r w:rsidRPr="00C63EDD">
        <w:t>". Si decimos "</w:t>
      </w:r>
      <w:r w:rsidRPr="00C63EDD">
        <w:rPr>
          <w:i/>
          <w:iCs/>
        </w:rPr>
        <w:t>sí mismo</w:t>
      </w:r>
      <w:r w:rsidRPr="00C63EDD">
        <w:t>" entonces todo gira en torno a la "persona" de aquél que se pretende analista, es decir, quien "se" considera, a "</w:t>
      </w:r>
      <w:r w:rsidRPr="00C63EDD">
        <w:rPr>
          <w:i/>
          <w:iCs/>
        </w:rPr>
        <w:t>sí mismo</w:t>
      </w:r>
      <w:r w:rsidRPr="00C63EDD">
        <w:t>", como tal. Recordemos que "sí mismo" es la expresión que suele usarse en psicología como equivalente de los términos "</w:t>
      </w:r>
      <w:proofErr w:type="spellStart"/>
      <w:r w:rsidRPr="00C63EDD">
        <w:rPr>
          <w:i/>
          <w:iCs/>
        </w:rPr>
        <w:t>Selbst</w:t>
      </w:r>
      <w:proofErr w:type="spellEnd"/>
      <w:r w:rsidRPr="00C63EDD">
        <w:t>" en alemán y "</w:t>
      </w:r>
      <w:r w:rsidRPr="00C63EDD">
        <w:rPr>
          <w:i/>
          <w:iCs/>
        </w:rPr>
        <w:t>self</w:t>
      </w:r>
      <w:r w:rsidRPr="00C63EDD">
        <w:t>" en inglés.</w:t>
      </w:r>
    </w:p>
    <w:p w:rsidR="005F7B1E" w:rsidRDefault="00C63EDD" w:rsidP="00C63EDD">
      <w:pPr>
        <w:rPr>
          <w:lang w:val="fr-FR"/>
        </w:rPr>
      </w:pPr>
      <w:r w:rsidRPr="00C63EDD">
        <w:lastRenderedPageBreak/>
        <w:t>Si el analista se autorizara por "</w:t>
      </w:r>
      <w:r w:rsidRPr="00C63EDD">
        <w:rPr>
          <w:i/>
          <w:iCs/>
        </w:rPr>
        <w:t>sí mismo</w:t>
      </w:r>
      <w:r w:rsidRPr="00C63EDD">
        <w:t xml:space="preserve"> ", entonces no tendría sentido la aclaración que Lacan agrega </w:t>
      </w:r>
      <w:r w:rsidR="005F7B1E">
        <w:t>en la “</w:t>
      </w:r>
      <w:r w:rsidR="005F7B1E">
        <w:rPr>
          <w:i/>
        </w:rPr>
        <w:t>Nota Italiana</w:t>
      </w:r>
      <w:r w:rsidR="005F7B1E">
        <w:t>”,</w:t>
      </w:r>
      <w:r w:rsidRPr="00C63EDD">
        <w:t xml:space="preserve"> cuando señala que su tesis no implica "</w:t>
      </w:r>
      <w:r w:rsidRPr="00C63EDD">
        <w:rPr>
          <w:i/>
          <w:iCs/>
        </w:rPr>
        <w:t>que cualquiera sea analista</w:t>
      </w:r>
      <w:r w:rsidRPr="00C63EDD">
        <w:t>" porque, "</w:t>
      </w:r>
      <w:r w:rsidRPr="00C63EDD">
        <w:rPr>
          <w:i/>
          <w:iCs/>
        </w:rPr>
        <w:t xml:space="preserve">en lo que ella </w:t>
      </w:r>
      <w:r w:rsidR="005E523C" w:rsidRPr="005E523C">
        <w:rPr>
          <w:iCs/>
        </w:rPr>
        <w:t>[la fórmula del principio]</w:t>
      </w:r>
      <w:r w:rsidR="005E523C">
        <w:rPr>
          <w:i/>
          <w:iCs/>
        </w:rPr>
        <w:t xml:space="preserve"> </w:t>
      </w:r>
      <w:r w:rsidRPr="00C63EDD">
        <w:rPr>
          <w:i/>
          <w:iCs/>
        </w:rPr>
        <w:t>enuncia, es del analista de lo que se trata, ella supone </w:t>
      </w:r>
      <w:r w:rsidRPr="00C63EDD">
        <w:rPr>
          <w:b/>
          <w:bCs/>
          <w:i/>
          <w:iCs/>
        </w:rPr>
        <w:t>que lo haya</w:t>
      </w:r>
      <w:r w:rsidRPr="00C63EDD">
        <w:t>"</w:t>
      </w:r>
      <w:r w:rsidRPr="00C63EDD">
        <w:rPr>
          <w:vertAlign w:val="superscript"/>
        </w:rPr>
        <w:footnoteReference w:id="14"/>
      </w:r>
      <w:r w:rsidRPr="00C63EDD">
        <w:t xml:space="preserve">  (subrayado mío). </w:t>
      </w:r>
      <w:r w:rsidRPr="00C63EDD">
        <w:rPr>
          <w:lang w:val="fr-FR"/>
        </w:rPr>
        <w:t xml:space="preserve">En </w:t>
      </w:r>
      <w:proofErr w:type="spellStart"/>
      <w:r w:rsidRPr="00C63EDD">
        <w:rPr>
          <w:lang w:val="fr-FR"/>
        </w:rPr>
        <w:t>francés</w:t>
      </w:r>
      <w:proofErr w:type="spellEnd"/>
      <w:r w:rsidRPr="00C63EDD">
        <w:rPr>
          <w:lang w:val="fr-FR"/>
        </w:rPr>
        <w:t xml:space="preserve"> es "</w:t>
      </w:r>
      <w:r w:rsidR="005E523C">
        <w:rPr>
          <w:lang w:val="fr-FR"/>
        </w:rPr>
        <w:t xml:space="preserve">… </w:t>
      </w:r>
      <w:r w:rsidR="005E523C" w:rsidRPr="005E523C">
        <w:rPr>
          <w:i/>
          <w:lang w:val="fr-FR"/>
        </w:rPr>
        <w:t>en ce qu’elle énonce</w:t>
      </w:r>
      <w:r w:rsidR="005E523C">
        <w:rPr>
          <w:lang w:val="fr-FR"/>
        </w:rPr>
        <w:t>,</w:t>
      </w:r>
      <w:r w:rsidRPr="00C63EDD">
        <w:rPr>
          <w:lang w:val="fr-FR"/>
        </w:rPr>
        <w:t xml:space="preserve"> </w:t>
      </w:r>
      <w:r w:rsidRPr="00C63EDD">
        <w:rPr>
          <w:i/>
          <w:iCs/>
          <w:lang w:val="fr-FR"/>
        </w:rPr>
        <w:t>c’est de l’analyste qu’il s’agit, elle suppose qu’il y </w:t>
      </w:r>
      <w:r w:rsidRPr="00C63EDD">
        <w:rPr>
          <w:b/>
          <w:bCs/>
          <w:i/>
          <w:iCs/>
          <w:lang w:val="fr-FR"/>
        </w:rPr>
        <w:t>en </w:t>
      </w:r>
      <w:r w:rsidRPr="00C63EDD">
        <w:rPr>
          <w:i/>
          <w:iCs/>
          <w:lang w:val="fr-FR"/>
        </w:rPr>
        <w:t>ait</w:t>
      </w:r>
      <w:r w:rsidRPr="00C63EDD">
        <w:rPr>
          <w:lang w:val="fr-FR"/>
        </w:rPr>
        <w:t>"</w:t>
      </w:r>
      <w:r w:rsidRPr="00C63EDD">
        <w:rPr>
          <w:vertAlign w:val="superscript"/>
          <w:lang w:val="fr-FR"/>
        </w:rPr>
        <w:footnoteReference w:id="15"/>
      </w:r>
      <w:r w:rsidRPr="00C63EDD">
        <w:rPr>
          <w:lang w:val="fr-FR"/>
        </w:rPr>
        <w:t>  (</w:t>
      </w:r>
      <w:proofErr w:type="spellStart"/>
      <w:r w:rsidRPr="00C63EDD">
        <w:rPr>
          <w:lang w:val="fr-FR"/>
        </w:rPr>
        <w:t>subrayado</w:t>
      </w:r>
      <w:proofErr w:type="spellEnd"/>
      <w:r w:rsidRPr="00C63EDD">
        <w:rPr>
          <w:lang w:val="fr-FR"/>
        </w:rPr>
        <w:t xml:space="preserve"> </w:t>
      </w:r>
      <w:proofErr w:type="spellStart"/>
      <w:r w:rsidRPr="00C63EDD">
        <w:rPr>
          <w:lang w:val="fr-FR"/>
        </w:rPr>
        <w:t>mío</w:t>
      </w:r>
      <w:proofErr w:type="spellEnd"/>
      <w:r w:rsidRPr="00C63EDD">
        <w:rPr>
          <w:lang w:val="fr-FR"/>
        </w:rPr>
        <w:t xml:space="preserve">). </w:t>
      </w:r>
    </w:p>
    <w:p w:rsidR="00C63EDD" w:rsidRPr="00C63EDD" w:rsidRDefault="00C63EDD" w:rsidP="00C63EDD">
      <w:r w:rsidRPr="00C63EDD">
        <w:t>La tesis de Lacan es, en cierto sentido, "circular"</w:t>
      </w:r>
      <w:r w:rsidR="005E523C">
        <w:t>,</w:t>
      </w:r>
      <w:r w:rsidRPr="00C63EDD">
        <w:t xml:space="preserve"> como tantas otras "definiciones" </w:t>
      </w:r>
      <w:r w:rsidR="005E523C">
        <w:t>suyas</w:t>
      </w:r>
      <w:r w:rsidRPr="00C63EDD">
        <w:t>, por ejemplo, la del significante: "</w:t>
      </w:r>
      <w:r w:rsidRPr="00C63EDD">
        <w:rPr>
          <w:i/>
          <w:iCs/>
        </w:rPr>
        <w:t>un significante es lo que representa a un sujeto para otro significante</w:t>
      </w:r>
      <w:r w:rsidRPr="00C63EDD">
        <w:t xml:space="preserve">". </w:t>
      </w:r>
      <w:r w:rsidR="005E523C">
        <w:t>La</w:t>
      </w:r>
      <w:r w:rsidRPr="00C63EDD">
        <w:t xml:space="preserve"> fórmula </w:t>
      </w:r>
      <w:r w:rsidR="005E523C">
        <w:t xml:space="preserve">del principio </w:t>
      </w:r>
      <w:r w:rsidRPr="00C63EDD">
        <w:t>diferencia dos "analistas": el que se autoriza y aquello en lo que se autoriza</w:t>
      </w:r>
      <w:r w:rsidR="00DE0546">
        <w:rPr>
          <w:rStyle w:val="Refdenotaalpie"/>
        </w:rPr>
        <w:footnoteReference w:id="16"/>
      </w:r>
      <w:r w:rsidRPr="00C63EDD">
        <w:t>. Hay un "analista", el primero, el que se autoriza, para el que vale "el" ("el analista"), y otro, segundo (en lo que el primero habrá de autorizarse), para el que vale "ello" ("</w:t>
      </w:r>
      <w:r w:rsidRPr="00C63EDD">
        <w:rPr>
          <w:i/>
          <w:iCs/>
        </w:rPr>
        <w:t xml:space="preserve">que </w:t>
      </w:r>
      <w:r w:rsidRPr="005F7B1E">
        <w:rPr>
          <w:b/>
          <w:i/>
          <w:iCs/>
        </w:rPr>
        <w:t>lo</w:t>
      </w:r>
      <w:r w:rsidRPr="00C63EDD">
        <w:rPr>
          <w:i/>
          <w:iCs/>
        </w:rPr>
        <w:t xml:space="preserve"> haya</w:t>
      </w:r>
      <w:r w:rsidRPr="00C63EDD">
        <w:t>"). Es necesario que "haya" analista para que "el analista" pueda autorizarse como tal. El que "</w:t>
      </w:r>
      <w:r w:rsidRPr="00C63EDD">
        <w:rPr>
          <w:i/>
          <w:iCs/>
        </w:rPr>
        <w:t>haya analista</w:t>
      </w:r>
      <w:r w:rsidRPr="00C63EDD">
        <w:t>" es la fórmula que Lacan introduce en el seminario XV del "acto analítico": "'</w:t>
      </w:r>
      <w:proofErr w:type="spellStart"/>
      <w:r w:rsidRPr="00C63EDD">
        <w:rPr>
          <w:i/>
          <w:iCs/>
        </w:rPr>
        <w:t>il</w:t>
      </w:r>
      <w:proofErr w:type="spellEnd"/>
      <w:r w:rsidRPr="00C63EDD">
        <w:rPr>
          <w:i/>
          <w:iCs/>
        </w:rPr>
        <w:t xml:space="preserve"> y a </w:t>
      </w:r>
      <w:r w:rsidRPr="00DE0546">
        <w:rPr>
          <w:b/>
          <w:i/>
          <w:iCs/>
        </w:rPr>
        <w:t xml:space="preserve">du </w:t>
      </w:r>
      <w:proofErr w:type="spellStart"/>
      <w:r w:rsidRPr="00DE0546">
        <w:rPr>
          <w:i/>
          <w:iCs/>
        </w:rPr>
        <w:t>psychanalyste</w:t>
      </w:r>
      <w:proofErr w:type="spellEnd"/>
      <w:r w:rsidRPr="00C63EDD">
        <w:t>", donde el "</w:t>
      </w:r>
      <w:r w:rsidRPr="00C63EDD">
        <w:rPr>
          <w:i/>
        </w:rPr>
        <w:t>du</w:t>
      </w:r>
      <w:r w:rsidRPr="00C63EDD">
        <w:t>", no es la contracción de la preposición "de" y el pronombre "el", en "del", sino un artículo partitivo, que es una figura del francés que no existe en castellano. Ese artículo partitivo siempre acompaña a sustantivos que no serían medibles. Lacan dice "</w:t>
      </w:r>
      <w:r w:rsidRPr="00C63EDD">
        <w:rPr>
          <w:i/>
          <w:iCs/>
        </w:rPr>
        <w:t xml:space="preserve">du </w:t>
      </w:r>
      <w:proofErr w:type="spellStart"/>
      <w:r w:rsidRPr="00C63EDD">
        <w:rPr>
          <w:i/>
          <w:iCs/>
        </w:rPr>
        <w:t>psychanalyste</w:t>
      </w:r>
      <w:proofErr w:type="spellEnd"/>
      <w:r w:rsidRPr="00C63EDD">
        <w:t>" como se dice "</w:t>
      </w:r>
      <w:r w:rsidRPr="00C63EDD">
        <w:rPr>
          <w:i/>
          <w:iCs/>
        </w:rPr>
        <w:t xml:space="preserve">du </w:t>
      </w:r>
      <w:proofErr w:type="spellStart"/>
      <w:r w:rsidRPr="00C63EDD">
        <w:rPr>
          <w:i/>
          <w:iCs/>
        </w:rPr>
        <w:t>pain</w:t>
      </w:r>
      <w:proofErr w:type="spellEnd"/>
      <w:r w:rsidRPr="00C63EDD">
        <w:t>" (pan) o "</w:t>
      </w:r>
      <w:r w:rsidRPr="00C63EDD">
        <w:rPr>
          <w:i/>
          <w:iCs/>
        </w:rPr>
        <w:t xml:space="preserve">du </w:t>
      </w:r>
      <w:proofErr w:type="spellStart"/>
      <w:r w:rsidRPr="00C63EDD">
        <w:rPr>
          <w:i/>
          <w:iCs/>
        </w:rPr>
        <w:t>fromage</w:t>
      </w:r>
      <w:proofErr w:type="spellEnd"/>
      <w:r w:rsidRPr="00C63EDD">
        <w:t>" (queso), es decir, como una partición de esa referencia (aunque la manera de obtener "</w:t>
      </w:r>
      <w:r w:rsidRPr="00C63EDD">
        <w:rPr>
          <w:i/>
          <w:iCs/>
        </w:rPr>
        <w:t xml:space="preserve">du </w:t>
      </w:r>
      <w:proofErr w:type="spellStart"/>
      <w:r w:rsidRPr="00C63EDD">
        <w:rPr>
          <w:i/>
          <w:iCs/>
        </w:rPr>
        <w:t>psychanalyste</w:t>
      </w:r>
      <w:proofErr w:type="spellEnd"/>
      <w:r w:rsidRPr="00C63EDD">
        <w:t>", obviamente, no sea la misma que la requerida para obtener "</w:t>
      </w:r>
      <w:r w:rsidRPr="00C63EDD">
        <w:rPr>
          <w:i/>
          <w:iCs/>
        </w:rPr>
        <w:t xml:space="preserve">du </w:t>
      </w:r>
      <w:proofErr w:type="spellStart"/>
      <w:r w:rsidRPr="00C63EDD">
        <w:rPr>
          <w:i/>
          <w:iCs/>
        </w:rPr>
        <w:t>fromage</w:t>
      </w:r>
      <w:proofErr w:type="spellEnd"/>
      <w:r w:rsidRPr="00C63EDD">
        <w:t>"). Dicha partición indica que, del mismo modo que a partir de "</w:t>
      </w:r>
      <w:r w:rsidRPr="00C63EDD">
        <w:rPr>
          <w:i/>
          <w:iCs/>
        </w:rPr>
        <w:t xml:space="preserve">du </w:t>
      </w:r>
      <w:proofErr w:type="spellStart"/>
      <w:r w:rsidRPr="00C63EDD">
        <w:rPr>
          <w:i/>
          <w:iCs/>
        </w:rPr>
        <w:t>pain</w:t>
      </w:r>
      <w:proofErr w:type="spellEnd"/>
      <w:r w:rsidRPr="00C63EDD">
        <w:t>" ("pan") no obtenemos forzosamente "</w:t>
      </w:r>
      <w:r w:rsidRPr="00C63EDD">
        <w:rPr>
          <w:i/>
          <w:iCs/>
        </w:rPr>
        <w:t xml:space="preserve">un </w:t>
      </w:r>
      <w:proofErr w:type="spellStart"/>
      <w:r w:rsidRPr="00C63EDD">
        <w:rPr>
          <w:i/>
          <w:iCs/>
        </w:rPr>
        <w:t>pain</w:t>
      </w:r>
      <w:proofErr w:type="spellEnd"/>
      <w:r w:rsidRPr="00C63EDD">
        <w:t>" ("un pan"), la autorización del analista no hace de este un "uno", es decir, "un" psicoanalista. El partitivo efectúa en la lengua lo que Lacan inscribe en la lógica con el no-todo</w:t>
      </w:r>
      <w:r w:rsidRPr="00C63EDD">
        <w:rPr>
          <w:vertAlign w:val="superscript"/>
        </w:rPr>
        <w:footnoteReference w:id="17"/>
      </w:r>
      <w:r w:rsidRPr="00C63EDD">
        <w:t xml:space="preserve"> . En otros términos, por esta misma relación de autorización, el analista es "no todo" analista, o lo que es lo mismo, no es "un" analista. </w:t>
      </w:r>
      <w:r w:rsidR="00DE0546">
        <w:t xml:space="preserve">Si “el analista” primero se reflejara en “si mismo” estaríamos configurando </w:t>
      </w:r>
      <w:r w:rsidR="00FC0F2C">
        <w:t>l</w:t>
      </w:r>
      <w:r w:rsidRPr="00C63EDD">
        <w:t>a idea de "un" analista</w:t>
      </w:r>
      <w:r w:rsidR="00FC0F2C">
        <w:t>, lo que</w:t>
      </w:r>
      <w:r w:rsidRPr="00C63EDD">
        <w:t xml:space="preserve"> conlleva la pertenencia a una supuesta clase, para </w:t>
      </w:r>
      <w:bookmarkStart w:id="0" w:name="_GoBack"/>
      <w:bookmarkEnd w:id="0"/>
      <w:r w:rsidRPr="00C63EDD">
        <w:t>el caso, la de los psicoanalistas. De ese modo, en un solo paso quedan asociados la identidad – ser psicoanalista – y la pertenencia a la institución garante</w:t>
      </w:r>
      <w:r w:rsidRPr="00C63EDD">
        <w:rPr>
          <w:vertAlign w:val="superscript"/>
        </w:rPr>
        <w:footnoteReference w:id="18"/>
      </w:r>
      <w:r w:rsidRPr="00C63EDD">
        <w:t xml:space="preserve"> . </w:t>
      </w:r>
      <w:r w:rsidR="00FC0F2C">
        <w:t xml:space="preserve">En cambio, </w:t>
      </w:r>
      <w:r w:rsidR="00FC0F2C" w:rsidRPr="00FC0F2C">
        <w:t>la tercera persona expresada en “</w:t>
      </w:r>
      <w:r w:rsidR="00FC0F2C" w:rsidRPr="00FC0F2C">
        <w:rPr>
          <w:b/>
          <w:i/>
        </w:rPr>
        <w:t>el</w:t>
      </w:r>
      <w:r w:rsidR="00FC0F2C" w:rsidRPr="00FC0F2C">
        <w:rPr>
          <w:i/>
        </w:rPr>
        <w:t xml:space="preserve"> mismo</w:t>
      </w:r>
      <w:r w:rsidR="00FC0F2C" w:rsidRPr="00FC0F2C">
        <w:t xml:space="preserve">” </w:t>
      </w:r>
      <w:r w:rsidR="00FC0F2C">
        <w:t>establece</w:t>
      </w:r>
      <w:r w:rsidR="00FC0F2C" w:rsidRPr="00FC0F2C">
        <w:t xml:space="preserve"> los límites de esa “mismidad”.</w:t>
      </w:r>
    </w:p>
    <w:p w:rsidR="008C1E32" w:rsidRDefault="000C67E8" w:rsidP="009863CB">
      <w:r>
        <w:t xml:space="preserve">Se comprende, </w:t>
      </w:r>
      <w:r w:rsidR="00FC0F2C">
        <w:t>también</w:t>
      </w:r>
      <w:r>
        <w:t>, la solidaridad del cambio de la preposición “</w:t>
      </w:r>
      <w:r w:rsidRPr="00FC0F2C">
        <w:rPr>
          <w:i/>
        </w:rPr>
        <w:t>de</w:t>
      </w:r>
      <w:r>
        <w:t>” por la preposición “por” en las traducciones de Esperanza</w:t>
      </w:r>
      <w:r w:rsidR="004129EA">
        <w:t>,</w:t>
      </w:r>
      <w:r>
        <w:t xml:space="preserve"> </w:t>
      </w:r>
      <w:r w:rsidR="004129EA">
        <w:t>con</w:t>
      </w:r>
      <w:r>
        <w:t xml:space="preserve"> este deslizamiento desde “</w:t>
      </w:r>
      <w:r w:rsidRPr="00FC0F2C">
        <w:rPr>
          <w:i/>
        </w:rPr>
        <w:t>el mismo</w:t>
      </w:r>
      <w:r>
        <w:t>” hacia “</w:t>
      </w:r>
      <w:r w:rsidRPr="00FC0F2C">
        <w:rPr>
          <w:i/>
        </w:rPr>
        <w:t>si mismo</w:t>
      </w:r>
      <w:r>
        <w:t>”</w:t>
      </w:r>
      <w:r w:rsidR="00FC0F2C">
        <w:t>, prefiriendo el carácter instrumental de la segunda al carácter material de la primera.</w:t>
      </w:r>
    </w:p>
    <w:p w:rsidR="000C67E8" w:rsidRDefault="000C67E8" w:rsidP="00C63EDD">
      <w:pPr>
        <w:rPr>
          <w:b/>
        </w:rPr>
      </w:pPr>
    </w:p>
    <w:p w:rsidR="00FC0F2C" w:rsidRDefault="00FC0F2C">
      <w:pPr>
        <w:rPr>
          <w:b/>
          <w:sz w:val="24"/>
        </w:rPr>
      </w:pPr>
      <w:r>
        <w:rPr>
          <w:b/>
          <w:sz w:val="24"/>
        </w:rPr>
        <w:br w:type="page"/>
      </w:r>
    </w:p>
    <w:p w:rsidR="00FC0F2C" w:rsidRPr="00FC0F2C" w:rsidRDefault="00FC0F2C" w:rsidP="00FC0F2C">
      <w:pPr>
        <w:jc w:val="center"/>
        <w:rPr>
          <w:sz w:val="24"/>
        </w:rPr>
      </w:pPr>
      <w:r>
        <w:rPr>
          <w:b/>
          <w:sz w:val="24"/>
        </w:rPr>
        <w:lastRenderedPageBreak/>
        <w:t>Acerca de</w:t>
      </w:r>
      <w:r w:rsidR="00C63EDD" w:rsidRPr="00FC0F2C">
        <w:rPr>
          <w:b/>
          <w:sz w:val="24"/>
        </w:rPr>
        <w:t xml:space="preserve">l </w:t>
      </w:r>
      <w:r>
        <w:rPr>
          <w:b/>
          <w:sz w:val="24"/>
        </w:rPr>
        <w:t>“</w:t>
      </w:r>
      <w:r w:rsidR="00C63EDD" w:rsidRPr="00FC0F2C">
        <w:rPr>
          <w:b/>
          <w:sz w:val="24"/>
        </w:rPr>
        <w:t>entusiasmo</w:t>
      </w:r>
      <w:r>
        <w:rPr>
          <w:b/>
          <w:sz w:val="24"/>
        </w:rPr>
        <w:t>”</w:t>
      </w:r>
      <w:r w:rsidR="00C63EDD" w:rsidRPr="00FC0F2C">
        <w:rPr>
          <w:b/>
          <w:sz w:val="24"/>
        </w:rPr>
        <w:t xml:space="preserve"> en l</w:t>
      </w:r>
      <w:r w:rsidR="008C1E32" w:rsidRPr="00FC0F2C">
        <w:rPr>
          <w:b/>
          <w:sz w:val="24"/>
        </w:rPr>
        <w:t>a</w:t>
      </w:r>
      <w:r w:rsidR="009863CB" w:rsidRPr="00FC0F2C">
        <w:rPr>
          <w:b/>
          <w:sz w:val="24"/>
        </w:rPr>
        <w:t xml:space="preserve"> "Nota Italiana"</w:t>
      </w:r>
    </w:p>
    <w:p w:rsidR="00C63EDD" w:rsidRPr="00C63EDD" w:rsidRDefault="00C63EDD" w:rsidP="00FC0F2C">
      <w:pPr>
        <w:jc w:val="center"/>
      </w:pPr>
      <w:r w:rsidRPr="00C63EDD">
        <w:t>(“Otros Escritos”,  páginas 327 a 332)</w:t>
      </w:r>
    </w:p>
    <w:p w:rsidR="008C1E32" w:rsidRPr="009863CB" w:rsidRDefault="008C1E32" w:rsidP="00FC0F2C">
      <w:pPr>
        <w:pStyle w:val="Prrafodelista"/>
        <w:numPr>
          <w:ilvl w:val="0"/>
          <w:numId w:val="2"/>
        </w:numPr>
      </w:pPr>
      <w:r>
        <w:t xml:space="preserve">Página 329: </w:t>
      </w:r>
      <w:r w:rsidRPr="008C1E32">
        <w:t>"</w:t>
      </w:r>
      <w:r w:rsidR="00AE355C" w:rsidRPr="00FC0F2C">
        <w:rPr>
          <w:i/>
          <w:iCs/>
        </w:rPr>
        <w:t>Es lo que el </w:t>
      </w:r>
      <w:r w:rsidR="00AE355C" w:rsidRPr="00FC0F2C">
        <w:rPr>
          <w:b/>
          <w:bCs/>
          <w:i/>
          <w:iCs/>
        </w:rPr>
        <w:t>analista</w:t>
      </w:r>
      <w:r w:rsidR="00AE355C" w:rsidRPr="00FC0F2C">
        <w:rPr>
          <w:i/>
          <w:iCs/>
        </w:rPr>
        <w:t> ha debido al menos hacerle sentir.</w:t>
      </w:r>
      <w:r w:rsidR="00AE355C" w:rsidRPr="00FC0F2C">
        <w:rPr>
          <w:i/>
        </w:rPr>
        <w:t xml:space="preserve">  </w:t>
      </w:r>
      <w:r w:rsidRPr="00FC0F2C">
        <w:rPr>
          <w:i/>
        </w:rPr>
        <w:t xml:space="preserve">Si </w:t>
      </w:r>
      <w:r w:rsidRPr="00FC0F2C">
        <w:rPr>
          <w:b/>
          <w:i/>
        </w:rPr>
        <w:t>él</w:t>
      </w:r>
      <w:r w:rsidRPr="00FC0F2C">
        <w:rPr>
          <w:i/>
        </w:rPr>
        <w:t xml:space="preserve"> no lo </w:t>
      </w:r>
      <w:r w:rsidRPr="00FC0F2C">
        <w:rPr>
          <w:b/>
          <w:i/>
        </w:rPr>
        <w:t>ha</w:t>
      </w:r>
      <w:r w:rsidRPr="00FC0F2C">
        <w:rPr>
          <w:i/>
        </w:rPr>
        <w:t xml:space="preserve"> </w:t>
      </w:r>
      <w:r w:rsidRPr="00FC0F2C">
        <w:rPr>
          <w:b/>
          <w:i/>
        </w:rPr>
        <w:t>llevado</w:t>
      </w:r>
      <w:r w:rsidRPr="00FC0F2C">
        <w:rPr>
          <w:i/>
        </w:rPr>
        <w:t xml:space="preserve"> al entusiasmo</w:t>
      </w:r>
      <w:r w:rsidRPr="008C1E32">
        <w:t>…"</w:t>
      </w:r>
      <w:r w:rsidR="00826472">
        <w:t xml:space="preserve"> </w:t>
      </w:r>
      <w:r w:rsidR="00826472" w:rsidRPr="00AE355C">
        <w:t>(subrayado mío)</w:t>
      </w:r>
    </w:p>
    <w:p w:rsidR="008C1E32" w:rsidRDefault="008C1E32" w:rsidP="008C1E32">
      <w:pPr>
        <w:ind w:left="708"/>
        <w:rPr>
          <w:lang w:val="fr-FR"/>
        </w:rPr>
      </w:pPr>
      <w:r w:rsidRPr="00AE355C">
        <w:rPr>
          <w:lang w:val="fr-FR"/>
        </w:rPr>
        <w:t xml:space="preserve">El texto en </w:t>
      </w:r>
      <w:proofErr w:type="spellStart"/>
      <w:r w:rsidRPr="00AE355C">
        <w:rPr>
          <w:lang w:val="fr-FR"/>
        </w:rPr>
        <w:t>francés</w:t>
      </w:r>
      <w:proofErr w:type="spellEnd"/>
      <w:r w:rsidR="00AE355C">
        <w:rPr>
          <w:lang w:val="fr-FR"/>
        </w:rPr>
        <w:t xml:space="preserve">, en la </w:t>
      </w:r>
      <w:proofErr w:type="spellStart"/>
      <w:r w:rsidR="00AE355C">
        <w:rPr>
          <w:lang w:val="fr-FR"/>
        </w:rPr>
        <w:t>edición</w:t>
      </w:r>
      <w:proofErr w:type="spellEnd"/>
      <w:r w:rsidR="00AE355C">
        <w:rPr>
          <w:lang w:val="fr-FR"/>
        </w:rPr>
        <w:t xml:space="preserve"> Seuil</w:t>
      </w:r>
      <w:r w:rsidR="00380F3B">
        <w:rPr>
          <w:rStyle w:val="Refdenotaalpie"/>
          <w:lang w:val="fr-FR"/>
        </w:rPr>
        <w:footnoteReference w:id="19"/>
      </w:r>
      <w:r w:rsidR="00AE355C">
        <w:rPr>
          <w:lang w:val="fr-FR"/>
        </w:rPr>
        <w:t>,</w:t>
      </w:r>
      <w:r w:rsidRPr="00AE355C">
        <w:rPr>
          <w:lang w:val="fr-FR"/>
        </w:rPr>
        <w:t xml:space="preserve"> es «</w:t>
      </w:r>
      <w:r w:rsidR="00AE355C" w:rsidRPr="00AE355C">
        <w:rPr>
          <w:i/>
          <w:iCs/>
          <w:lang w:val="fr-FR"/>
        </w:rPr>
        <w:t>C’est ce que l’</w:t>
      </w:r>
      <w:r w:rsidR="00AE355C" w:rsidRPr="00AE355C">
        <w:rPr>
          <w:b/>
          <w:bCs/>
          <w:i/>
          <w:iCs/>
          <w:lang w:val="fr-FR"/>
        </w:rPr>
        <w:t>analyste</w:t>
      </w:r>
      <w:r w:rsidR="00AE355C" w:rsidRPr="00AE355C">
        <w:rPr>
          <w:i/>
          <w:iCs/>
          <w:lang w:val="fr-FR"/>
        </w:rPr>
        <w:t> a dû lui faire au moins sentir</w:t>
      </w:r>
      <w:r w:rsidR="00AE355C" w:rsidRPr="00AE355C">
        <w:rPr>
          <w:lang w:val="fr-FR"/>
        </w:rPr>
        <w:t xml:space="preserve">. </w:t>
      </w:r>
      <w:r w:rsidR="00AE355C" w:rsidRPr="00380F3B">
        <w:rPr>
          <w:i/>
          <w:lang w:val="fr-FR"/>
        </w:rPr>
        <w:t>S</w:t>
      </w:r>
      <w:r w:rsidRPr="00380F3B">
        <w:rPr>
          <w:i/>
          <w:lang w:val="fr-FR"/>
        </w:rPr>
        <w:t>’il n’</w:t>
      </w:r>
      <w:r w:rsidRPr="00380F3B">
        <w:rPr>
          <w:b/>
          <w:i/>
          <w:lang w:val="fr-FR"/>
        </w:rPr>
        <w:t>en</w:t>
      </w:r>
      <w:r w:rsidRPr="00380F3B">
        <w:rPr>
          <w:i/>
          <w:lang w:val="fr-FR"/>
        </w:rPr>
        <w:t xml:space="preserve"> est pas </w:t>
      </w:r>
      <w:r w:rsidRPr="00380F3B">
        <w:rPr>
          <w:b/>
          <w:i/>
          <w:lang w:val="fr-FR"/>
        </w:rPr>
        <w:t>porté</w:t>
      </w:r>
      <w:r w:rsidRPr="00380F3B">
        <w:rPr>
          <w:i/>
          <w:lang w:val="fr-FR"/>
        </w:rPr>
        <w:t xml:space="preserve"> à l’enthousiasme</w:t>
      </w:r>
      <w:r w:rsidRPr="00AE355C">
        <w:rPr>
          <w:lang w:val="fr-FR"/>
        </w:rPr>
        <w:t>… » ("</w:t>
      </w:r>
      <w:r w:rsidRPr="00380F3B">
        <w:rPr>
          <w:i/>
          <w:lang w:val="fr-FR"/>
        </w:rPr>
        <w:t>Note italienne</w:t>
      </w:r>
      <w:r w:rsidRPr="00AE355C">
        <w:rPr>
          <w:lang w:val="fr-FR"/>
        </w:rPr>
        <w:t xml:space="preserve">", en " </w:t>
      </w:r>
      <w:r w:rsidRPr="00380F3B">
        <w:rPr>
          <w:i/>
          <w:lang w:val="fr-FR"/>
        </w:rPr>
        <w:t>Autres écrits</w:t>
      </w:r>
      <w:r w:rsidRPr="00AE355C">
        <w:rPr>
          <w:lang w:val="fr-FR"/>
        </w:rPr>
        <w:t>", página 309) (</w:t>
      </w:r>
      <w:proofErr w:type="spellStart"/>
      <w:r w:rsidRPr="00AE355C">
        <w:rPr>
          <w:lang w:val="fr-FR"/>
        </w:rPr>
        <w:t>subrayado</w:t>
      </w:r>
      <w:proofErr w:type="spellEnd"/>
      <w:r w:rsidRPr="00AE355C">
        <w:rPr>
          <w:lang w:val="fr-FR"/>
        </w:rPr>
        <w:t xml:space="preserve"> </w:t>
      </w:r>
      <w:proofErr w:type="spellStart"/>
      <w:r w:rsidRPr="00AE355C">
        <w:rPr>
          <w:lang w:val="fr-FR"/>
        </w:rPr>
        <w:t>mío</w:t>
      </w:r>
      <w:proofErr w:type="spellEnd"/>
      <w:r w:rsidRPr="00AE355C">
        <w:rPr>
          <w:lang w:val="fr-FR"/>
        </w:rPr>
        <w:t>)</w:t>
      </w:r>
    </w:p>
    <w:p w:rsidR="00AE355C" w:rsidRPr="00AE355C" w:rsidRDefault="00AE355C" w:rsidP="00FC0F2C">
      <w:r>
        <w:t xml:space="preserve">Vayamos por partes. </w:t>
      </w:r>
      <w:r w:rsidRPr="00AE355C">
        <w:t>Comencemos por la segunda frase</w:t>
      </w:r>
      <w:r w:rsidR="00C9733F">
        <w:t xml:space="preserve"> de esta cita</w:t>
      </w:r>
      <w:r w:rsidRPr="00AE355C">
        <w:t>.</w:t>
      </w:r>
    </w:p>
    <w:p w:rsidR="0044652C" w:rsidRPr="0044652C" w:rsidRDefault="0044652C" w:rsidP="00FC0F2C">
      <w:r>
        <w:t>Existe una</w:t>
      </w:r>
      <w:r w:rsidRPr="0044652C">
        <w:t xml:space="preserve"> traducción </w:t>
      </w:r>
      <w:r>
        <w:t>anterior</w:t>
      </w:r>
      <w:r w:rsidR="00FC0F2C">
        <w:t xml:space="preserve"> de la “</w:t>
      </w:r>
      <w:r w:rsidR="00FC0F2C" w:rsidRPr="00FC0F2C">
        <w:rPr>
          <w:i/>
        </w:rPr>
        <w:t>Nota Italiana</w:t>
      </w:r>
      <w:r w:rsidR="00FC0F2C">
        <w:t>”</w:t>
      </w:r>
      <w:r>
        <w:t xml:space="preserve">, </w:t>
      </w:r>
      <w:r w:rsidRPr="0044652C">
        <w:t>de Carmen Gallano y Vicente Mira</w:t>
      </w:r>
      <w:r>
        <w:t>,</w:t>
      </w:r>
      <w:r w:rsidRPr="0044652C">
        <w:t xml:space="preserve"> publicada </w:t>
      </w:r>
      <w:r>
        <w:t xml:space="preserve">originalmente </w:t>
      </w:r>
      <w:r w:rsidRPr="0044652C">
        <w:t>en "</w:t>
      </w:r>
      <w:r w:rsidRPr="00AE355C">
        <w:rPr>
          <w:i/>
        </w:rPr>
        <w:t>Fascículos de psicoanálisis</w:t>
      </w:r>
      <w:r w:rsidRPr="0044652C">
        <w:t>": "</w:t>
      </w:r>
      <w:r w:rsidRPr="00AE355C">
        <w:rPr>
          <w:i/>
        </w:rPr>
        <w:t>La Escuela a ojos vista</w:t>
      </w:r>
      <w:r w:rsidRPr="0044652C">
        <w:t xml:space="preserve">", Coloquio Uno por Uno, Madrid, 17 Noviembre 1990, Editorial Eolia. </w:t>
      </w:r>
      <w:r>
        <w:t>Dicha traducción</w:t>
      </w:r>
      <w:r>
        <w:rPr>
          <w:rStyle w:val="Refdenotaalpie"/>
        </w:rPr>
        <w:footnoteReference w:id="20"/>
      </w:r>
      <w:r>
        <w:t xml:space="preserve"> (</w:t>
      </w:r>
      <w:r w:rsidRPr="0044652C">
        <w:t>que circula desde hace años</w:t>
      </w:r>
      <w:r>
        <w:t>,</w:t>
      </w:r>
      <w:r w:rsidRPr="0044652C">
        <w:t xml:space="preserve"> con la correspondiente autorización de J</w:t>
      </w:r>
      <w:r w:rsidR="00AE355C">
        <w:t>acques-Alain Miller</w:t>
      </w:r>
      <w:r w:rsidRPr="0044652C">
        <w:t xml:space="preserve">), </w:t>
      </w:r>
      <w:r>
        <w:t>re</w:t>
      </w:r>
      <w:r w:rsidRPr="0044652C">
        <w:t>za así: "</w:t>
      </w:r>
      <w:r w:rsidRPr="00380F3B">
        <w:rPr>
          <w:i/>
        </w:rPr>
        <w:t xml:space="preserve">Si </w:t>
      </w:r>
      <w:r w:rsidRPr="00380F3B">
        <w:rPr>
          <w:b/>
          <w:i/>
        </w:rPr>
        <w:t>ello</w:t>
      </w:r>
      <w:r w:rsidRPr="00380F3B">
        <w:rPr>
          <w:i/>
        </w:rPr>
        <w:t xml:space="preserve"> no </w:t>
      </w:r>
      <w:r w:rsidRPr="00380F3B">
        <w:rPr>
          <w:b/>
          <w:i/>
        </w:rPr>
        <w:t>le</w:t>
      </w:r>
      <w:r w:rsidRPr="00380F3B">
        <w:rPr>
          <w:i/>
        </w:rPr>
        <w:t xml:space="preserve"> </w:t>
      </w:r>
      <w:r w:rsidRPr="00380F3B">
        <w:rPr>
          <w:b/>
          <w:i/>
        </w:rPr>
        <w:t>lleva</w:t>
      </w:r>
      <w:r w:rsidRPr="00380F3B">
        <w:rPr>
          <w:i/>
        </w:rPr>
        <w:t xml:space="preserve"> al entusiasmo</w:t>
      </w:r>
      <w:r w:rsidRPr="0044652C">
        <w:t>…" (</w:t>
      </w:r>
      <w:proofErr w:type="gramStart"/>
      <w:r w:rsidRPr="0044652C">
        <w:t>subrayado</w:t>
      </w:r>
      <w:proofErr w:type="gramEnd"/>
      <w:r w:rsidRPr="0044652C">
        <w:t xml:space="preserve"> mío)</w:t>
      </w:r>
    </w:p>
    <w:p w:rsidR="00717315" w:rsidRDefault="00FC0F2C" w:rsidP="00FC0F2C">
      <w:r>
        <w:t>Y también tenemos una tercera traducción, que</w:t>
      </w:r>
      <w:r w:rsidR="0044652C">
        <w:t xml:space="preserve"> es la que se ha incluido en la edición argentina del libro de Colette Soler “</w:t>
      </w:r>
      <w:r w:rsidR="0044652C" w:rsidRPr="00AE355C">
        <w:rPr>
          <w:i/>
        </w:rPr>
        <w:t>Los afectos lacanianos</w:t>
      </w:r>
      <w:r w:rsidR="0044652C">
        <w:t>”.</w:t>
      </w:r>
      <w:r w:rsidR="00FD7E8A">
        <w:t xml:space="preserve"> Luciano </w:t>
      </w:r>
      <w:proofErr w:type="spellStart"/>
      <w:r w:rsidR="00FD7E8A">
        <w:t>Lutereau</w:t>
      </w:r>
      <w:proofErr w:type="spellEnd"/>
      <w:r w:rsidR="00FD7E8A">
        <w:t xml:space="preserve"> y Agustín </w:t>
      </w:r>
      <w:proofErr w:type="spellStart"/>
      <w:r w:rsidR="00FD7E8A">
        <w:t>Kripper</w:t>
      </w:r>
      <w:proofErr w:type="spellEnd"/>
      <w:r w:rsidR="00FD7E8A">
        <w:t xml:space="preserve">, bajo la supervisión de Pablo </w:t>
      </w:r>
      <w:proofErr w:type="spellStart"/>
      <w:r w:rsidR="00FD7E8A">
        <w:t>Peusner</w:t>
      </w:r>
      <w:proofErr w:type="spellEnd"/>
      <w:r w:rsidR="00FD7E8A">
        <w:t xml:space="preserve"> (y supongo que también de la autora)</w:t>
      </w:r>
      <w:r w:rsidR="0044652C">
        <w:t xml:space="preserve"> </w:t>
      </w:r>
      <w:r w:rsidR="00FD7E8A">
        <w:t>han optado por la siguiente forma:</w:t>
      </w:r>
      <w:r w:rsidR="0044652C">
        <w:t xml:space="preserve"> </w:t>
      </w:r>
      <w:r w:rsidR="0044652C" w:rsidRPr="0044652C">
        <w:t>"</w:t>
      </w:r>
      <w:r w:rsidR="0044652C" w:rsidRPr="0044652C">
        <w:rPr>
          <w:i/>
          <w:iCs/>
        </w:rPr>
        <w:t>Si no es </w:t>
      </w:r>
      <w:r w:rsidR="0044652C" w:rsidRPr="0044652C">
        <w:rPr>
          <w:b/>
          <w:bCs/>
          <w:i/>
          <w:iCs/>
        </w:rPr>
        <w:t>conducido</w:t>
      </w:r>
      <w:r w:rsidR="0044652C" w:rsidRPr="0044652C">
        <w:rPr>
          <w:i/>
          <w:iCs/>
        </w:rPr>
        <w:t> al entusiasmo</w:t>
      </w:r>
      <w:r w:rsidR="00FD7E8A">
        <w:rPr>
          <w:i/>
          <w:iCs/>
        </w:rPr>
        <w:t>…</w:t>
      </w:r>
      <w:r w:rsidR="0044652C" w:rsidRPr="0044652C">
        <w:t>" (</w:t>
      </w:r>
      <w:proofErr w:type="gramStart"/>
      <w:r w:rsidR="0044652C" w:rsidRPr="0044652C">
        <w:t>subrayado</w:t>
      </w:r>
      <w:proofErr w:type="gramEnd"/>
      <w:r w:rsidR="0044652C" w:rsidRPr="0044652C">
        <w:t xml:space="preserve"> mío), con la siguiente aclaración en nota a pie de página: "</w:t>
      </w:r>
      <w:r w:rsidR="0044652C" w:rsidRPr="0044652C">
        <w:rPr>
          <w:i/>
          <w:iCs/>
        </w:rPr>
        <w:t xml:space="preserve">Lacan, J., "Note </w:t>
      </w:r>
      <w:proofErr w:type="spellStart"/>
      <w:r w:rsidR="0044652C" w:rsidRPr="0044652C">
        <w:rPr>
          <w:i/>
          <w:iCs/>
        </w:rPr>
        <w:t>italienne</w:t>
      </w:r>
      <w:proofErr w:type="spellEnd"/>
      <w:r w:rsidR="0044652C" w:rsidRPr="0044652C">
        <w:rPr>
          <w:i/>
          <w:iCs/>
        </w:rPr>
        <w:t>", en "</w:t>
      </w:r>
      <w:proofErr w:type="spellStart"/>
      <w:r w:rsidR="0044652C" w:rsidRPr="0044652C">
        <w:rPr>
          <w:i/>
          <w:iCs/>
        </w:rPr>
        <w:t>Autres</w:t>
      </w:r>
      <w:proofErr w:type="spellEnd"/>
      <w:r w:rsidR="0044652C" w:rsidRPr="0044652C">
        <w:rPr>
          <w:i/>
          <w:iCs/>
        </w:rPr>
        <w:t xml:space="preserve"> </w:t>
      </w:r>
      <w:proofErr w:type="spellStart"/>
      <w:r w:rsidR="0044652C" w:rsidRPr="0044652C">
        <w:rPr>
          <w:i/>
          <w:iCs/>
        </w:rPr>
        <w:t>écrits</w:t>
      </w:r>
      <w:proofErr w:type="spellEnd"/>
      <w:r w:rsidR="0044652C" w:rsidRPr="0044652C">
        <w:rPr>
          <w:i/>
          <w:iCs/>
        </w:rPr>
        <w:t xml:space="preserve">", </w:t>
      </w:r>
      <w:proofErr w:type="spellStart"/>
      <w:r w:rsidR="0044652C" w:rsidRPr="0044652C">
        <w:rPr>
          <w:i/>
          <w:iCs/>
        </w:rPr>
        <w:t>op</w:t>
      </w:r>
      <w:proofErr w:type="spellEnd"/>
      <w:r w:rsidR="0044652C" w:rsidRPr="0044652C">
        <w:rPr>
          <w:i/>
          <w:iCs/>
        </w:rPr>
        <w:t>. ci., p. 309</w:t>
      </w:r>
      <w:r w:rsidR="0044652C" w:rsidRPr="0044652C">
        <w:t>"</w:t>
      </w:r>
      <w:r w:rsidR="000C123C">
        <w:rPr>
          <w:rStyle w:val="Refdenotaalpie"/>
        </w:rPr>
        <w:footnoteReference w:id="21"/>
      </w:r>
      <w:r w:rsidR="00FD7E8A">
        <w:t xml:space="preserve">, es decir, toman nota de la referencia original del francés. </w:t>
      </w:r>
      <w:r w:rsidR="00FD7E8A" w:rsidRPr="00FD7E8A">
        <w:t>¿Por qué los traductores de C</w:t>
      </w:r>
      <w:r w:rsidR="00FD7E8A">
        <w:t xml:space="preserve">olette </w:t>
      </w:r>
      <w:r w:rsidR="00FD7E8A" w:rsidRPr="00FD7E8A">
        <w:t>S</w:t>
      </w:r>
      <w:r w:rsidR="00FD7E8A">
        <w:t>oler</w:t>
      </w:r>
      <w:r w:rsidR="00FD7E8A" w:rsidRPr="00FD7E8A">
        <w:t xml:space="preserve"> prefirieron innovar con "</w:t>
      </w:r>
      <w:r w:rsidR="00FD7E8A" w:rsidRPr="00FD7E8A">
        <w:rPr>
          <w:i/>
          <w:iCs/>
        </w:rPr>
        <w:t>es </w:t>
      </w:r>
      <w:r w:rsidR="00FD7E8A" w:rsidRPr="00FD7E8A">
        <w:rPr>
          <w:b/>
          <w:bCs/>
          <w:i/>
          <w:iCs/>
        </w:rPr>
        <w:t>conducido</w:t>
      </w:r>
      <w:r w:rsidR="00FD7E8A" w:rsidRPr="00FD7E8A">
        <w:t>" en lugar del "</w:t>
      </w:r>
      <w:r w:rsidR="00FD7E8A" w:rsidRPr="00FD7E8A">
        <w:rPr>
          <w:i/>
          <w:iCs/>
        </w:rPr>
        <w:t xml:space="preserve">lo </w:t>
      </w:r>
      <w:r w:rsidR="00FD7E8A" w:rsidRPr="00AE355C">
        <w:rPr>
          <w:b/>
          <w:i/>
          <w:iCs/>
        </w:rPr>
        <w:t>ha llevado</w:t>
      </w:r>
      <w:r w:rsidR="00FD7E8A" w:rsidRPr="00FD7E8A">
        <w:t>" o "</w:t>
      </w:r>
      <w:r w:rsidR="00FD7E8A" w:rsidRPr="00FD7E8A">
        <w:rPr>
          <w:i/>
          <w:iCs/>
        </w:rPr>
        <w:t>le lleva</w:t>
      </w:r>
      <w:r w:rsidR="00FD7E8A" w:rsidRPr="00FD7E8A">
        <w:t>"? No parece ser un simple "error"</w:t>
      </w:r>
      <w:r w:rsidR="00FD7E8A">
        <w:rPr>
          <w:rStyle w:val="Refdenotaalpie"/>
        </w:rPr>
        <w:footnoteReference w:id="22"/>
      </w:r>
      <w:r w:rsidR="00FD7E8A" w:rsidRPr="00FD7E8A">
        <w:t xml:space="preserve">, puesto que el supervisor, Pablo </w:t>
      </w:r>
      <w:proofErr w:type="spellStart"/>
      <w:r w:rsidR="00FD7E8A" w:rsidRPr="00FD7E8A">
        <w:t>Peusner</w:t>
      </w:r>
      <w:proofErr w:type="spellEnd"/>
      <w:r w:rsidR="00FD7E8A" w:rsidRPr="00FD7E8A">
        <w:t>, conocía muy bien la versión de Gallano y Mira</w:t>
      </w:r>
      <w:r w:rsidR="00FD7E8A">
        <w:rPr>
          <w:rStyle w:val="Refdenotaalpie"/>
        </w:rPr>
        <w:footnoteReference w:id="23"/>
      </w:r>
      <w:r w:rsidR="00FD7E8A" w:rsidRPr="00FD7E8A">
        <w:t>. O es una decisión consciente, o un lapsus político</w:t>
      </w:r>
      <w:r w:rsidR="00380F3B">
        <w:rPr>
          <w:rStyle w:val="Refdenotaalpie"/>
        </w:rPr>
        <w:footnoteReference w:id="24"/>
      </w:r>
      <w:r w:rsidR="00FD7E8A">
        <w:t>.</w:t>
      </w:r>
    </w:p>
    <w:p w:rsidR="00FD7E8A" w:rsidRDefault="00FD7E8A" w:rsidP="00FC0F2C">
      <w:r w:rsidRPr="00FD7E8A">
        <w:t>Como lo señalé en mis subrayados, en el texto en francés hay un "</w:t>
      </w:r>
      <w:r w:rsidRPr="00FD7E8A">
        <w:rPr>
          <w:i/>
          <w:iCs/>
        </w:rPr>
        <w:t>en</w:t>
      </w:r>
      <w:r w:rsidRPr="00FD7E8A">
        <w:t>" ("</w:t>
      </w:r>
      <w:proofErr w:type="spellStart"/>
      <w:r w:rsidRPr="00FD7E8A">
        <w:rPr>
          <w:i/>
          <w:iCs/>
        </w:rPr>
        <w:t>s’il</w:t>
      </w:r>
      <w:proofErr w:type="spellEnd"/>
      <w:r w:rsidRPr="00FD7E8A">
        <w:rPr>
          <w:i/>
          <w:iCs/>
        </w:rPr>
        <w:t xml:space="preserve"> </w:t>
      </w:r>
      <w:proofErr w:type="spellStart"/>
      <w:r w:rsidRPr="00FD7E8A">
        <w:rPr>
          <w:i/>
          <w:iCs/>
        </w:rPr>
        <w:t>n’</w:t>
      </w:r>
      <w:r w:rsidRPr="00FD7E8A">
        <w:rPr>
          <w:b/>
          <w:bCs/>
          <w:i/>
          <w:iCs/>
        </w:rPr>
        <w:t>en</w:t>
      </w:r>
      <w:proofErr w:type="spellEnd"/>
      <w:r w:rsidRPr="00FD7E8A">
        <w:rPr>
          <w:i/>
          <w:iCs/>
        </w:rPr>
        <w:t> </w:t>
      </w:r>
      <w:proofErr w:type="spellStart"/>
      <w:r w:rsidRPr="00FD7E8A">
        <w:rPr>
          <w:i/>
          <w:iCs/>
        </w:rPr>
        <w:t>est</w:t>
      </w:r>
      <w:proofErr w:type="spellEnd"/>
      <w:r w:rsidRPr="00FD7E8A">
        <w:rPr>
          <w:i/>
          <w:iCs/>
        </w:rPr>
        <w:t xml:space="preserve"> </w:t>
      </w:r>
      <w:proofErr w:type="spellStart"/>
      <w:r w:rsidRPr="00FD7E8A">
        <w:rPr>
          <w:i/>
          <w:iCs/>
        </w:rPr>
        <w:t>pas</w:t>
      </w:r>
      <w:proofErr w:type="spellEnd"/>
      <w:r w:rsidRPr="00FD7E8A">
        <w:rPr>
          <w:i/>
          <w:iCs/>
        </w:rPr>
        <w:t xml:space="preserve"> porté…</w:t>
      </w:r>
      <w:r w:rsidRPr="00FD7E8A">
        <w:t xml:space="preserve">") que es completamente omitido en el libro de </w:t>
      </w:r>
      <w:r>
        <w:t>Soler</w:t>
      </w:r>
      <w:r w:rsidRPr="00FD7E8A">
        <w:t xml:space="preserve"> ("</w:t>
      </w:r>
      <w:r w:rsidRPr="00FD7E8A">
        <w:rPr>
          <w:i/>
          <w:iCs/>
        </w:rPr>
        <w:t>si no es conducido….</w:t>
      </w:r>
      <w:r w:rsidRPr="00FD7E8A">
        <w:t>"), y que es traducido de modos diferentes por Gallano-Mira y por Esperanza. Los primeros traducen utilizando el pronombre neutro "</w:t>
      </w:r>
      <w:r w:rsidRPr="00FD7E8A">
        <w:rPr>
          <w:i/>
          <w:iCs/>
        </w:rPr>
        <w:t>si </w:t>
      </w:r>
      <w:r w:rsidRPr="00FD7E8A">
        <w:rPr>
          <w:b/>
          <w:bCs/>
          <w:i/>
          <w:iCs/>
        </w:rPr>
        <w:t>ello</w:t>
      </w:r>
      <w:r w:rsidRPr="00FD7E8A">
        <w:rPr>
          <w:i/>
          <w:iCs/>
        </w:rPr>
        <w:t> no le lleva…</w:t>
      </w:r>
      <w:r w:rsidRPr="00FD7E8A">
        <w:t>". En cambio Esperanza prefiere darle carácter masculino a dicho pronombre: "</w:t>
      </w:r>
      <w:r w:rsidRPr="00FD7E8A">
        <w:rPr>
          <w:i/>
          <w:iCs/>
        </w:rPr>
        <w:t>si </w:t>
      </w:r>
      <w:r w:rsidRPr="00FD7E8A">
        <w:rPr>
          <w:b/>
          <w:bCs/>
          <w:i/>
          <w:iCs/>
        </w:rPr>
        <w:t>él </w:t>
      </w:r>
      <w:r w:rsidRPr="00FD7E8A">
        <w:rPr>
          <w:i/>
          <w:iCs/>
        </w:rPr>
        <w:t>no lo ha llevado…</w:t>
      </w:r>
      <w:r w:rsidRPr="00FD7E8A">
        <w:t>". ¿A qué o quién refieren ese "</w:t>
      </w:r>
      <w:r w:rsidRPr="00FD7E8A">
        <w:rPr>
          <w:i/>
          <w:iCs/>
        </w:rPr>
        <w:t>ello</w:t>
      </w:r>
      <w:r w:rsidRPr="00FD7E8A">
        <w:t>" (Gallano y Mira) o ese "</w:t>
      </w:r>
      <w:r w:rsidRPr="00FD7E8A">
        <w:rPr>
          <w:i/>
          <w:iCs/>
        </w:rPr>
        <w:t>él</w:t>
      </w:r>
      <w:r w:rsidRPr="00FD7E8A">
        <w:t>" (Esperanza)</w:t>
      </w:r>
      <w:r>
        <w:t xml:space="preserve">, </w:t>
      </w:r>
      <w:r w:rsidRPr="00FD7E8A">
        <w:t xml:space="preserve">que </w:t>
      </w:r>
      <w:r>
        <w:t>Soler</w:t>
      </w:r>
      <w:r w:rsidRPr="00FD7E8A">
        <w:t xml:space="preserve"> </w:t>
      </w:r>
      <w:r>
        <w:t xml:space="preserve">directamente </w:t>
      </w:r>
      <w:r w:rsidRPr="00FD7E8A">
        <w:t>omite?</w:t>
      </w:r>
    </w:p>
    <w:p w:rsidR="00AE355C" w:rsidRPr="00AE355C" w:rsidRDefault="00AE355C" w:rsidP="00FC0F2C">
      <w:r w:rsidRPr="00AE355C">
        <w:t xml:space="preserve">Esto nos remonta a la </w:t>
      </w:r>
      <w:r w:rsidR="00C9733F">
        <w:t>primera frase, donde nos esperan nuevas sorpresas</w:t>
      </w:r>
      <w:r>
        <w:t>.</w:t>
      </w:r>
      <w:r w:rsidRPr="00AE355C">
        <w:t xml:space="preserve"> </w:t>
      </w:r>
      <w:r>
        <w:t>L</w:t>
      </w:r>
      <w:r w:rsidRPr="00AE355C">
        <w:t>a edición Seuil de "</w:t>
      </w:r>
      <w:proofErr w:type="spellStart"/>
      <w:r w:rsidRPr="00AE355C">
        <w:rPr>
          <w:i/>
          <w:iCs/>
        </w:rPr>
        <w:t>Autres</w:t>
      </w:r>
      <w:proofErr w:type="spellEnd"/>
      <w:r w:rsidRPr="00AE355C">
        <w:rPr>
          <w:i/>
          <w:iCs/>
        </w:rPr>
        <w:t xml:space="preserve"> </w:t>
      </w:r>
      <w:proofErr w:type="spellStart"/>
      <w:r w:rsidRPr="00AE355C">
        <w:rPr>
          <w:i/>
          <w:iCs/>
        </w:rPr>
        <w:t>écrits</w:t>
      </w:r>
      <w:proofErr w:type="spellEnd"/>
      <w:r w:rsidRPr="00AE355C">
        <w:t xml:space="preserve">" modificó el texto original (o que considerábamos como tal hasta </w:t>
      </w:r>
      <w:r w:rsidR="001B609D">
        <w:t>entonces</w:t>
      </w:r>
      <w:r w:rsidRPr="00AE355C">
        <w:t xml:space="preserve">). </w:t>
      </w:r>
      <w:r w:rsidR="00C9733F">
        <w:t>Como señalamos más arriba, e</w:t>
      </w:r>
      <w:r w:rsidRPr="001B609D">
        <w:t>n la página 309 podemos leer: « </w:t>
      </w:r>
      <w:proofErr w:type="spellStart"/>
      <w:r w:rsidRPr="001B609D">
        <w:rPr>
          <w:i/>
          <w:iCs/>
        </w:rPr>
        <w:t>C’est</w:t>
      </w:r>
      <w:proofErr w:type="spellEnd"/>
      <w:r w:rsidRPr="001B609D">
        <w:rPr>
          <w:i/>
          <w:iCs/>
        </w:rPr>
        <w:t xml:space="preserve"> ce que </w:t>
      </w:r>
      <w:proofErr w:type="spellStart"/>
      <w:r w:rsidRPr="001B609D">
        <w:rPr>
          <w:i/>
          <w:iCs/>
        </w:rPr>
        <w:t>l’</w:t>
      </w:r>
      <w:r w:rsidRPr="001B609D">
        <w:rPr>
          <w:b/>
          <w:bCs/>
          <w:i/>
          <w:iCs/>
        </w:rPr>
        <w:t>analyste</w:t>
      </w:r>
      <w:proofErr w:type="spellEnd"/>
      <w:r w:rsidRPr="001B609D">
        <w:rPr>
          <w:i/>
          <w:iCs/>
        </w:rPr>
        <w:t xml:space="preserve"> a </w:t>
      </w:r>
      <w:proofErr w:type="spellStart"/>
      <w:r w:rsidRPr="001B609D">
        <w:rPr>
          <w:i/>
          <w:iCs/>
        </w:rPr>
        <w:t>dû</w:t>
      </w:r>
      <w:proofErr w:type="spellEnd"/>
      <w:r w:rsidRPr="001B609D">
        <w:rPr>
          <w:i/>
          <w:iCs/>
        </w:rPr>
        <w:t xml:space="preserve"> lui </w:t>
      </w:r>
      <w:r w:rsidRPr="001B609D">
        <w:rPr>
          <w:i/>
          <w:iCs/>
        </w:rPr>
        <w:lastRenderedPageBreak/>
        <w:t xml:space="preserve">faire </w:t>
      </w:r>
      <w:proofErr w:type="spellStart"/>
      <w:r w:rsidRPr="001B609D">
        <w:rPr>
          <w:i/>
          <w:iCs/>
        </w:rPr>
        <w:t>au</w:t>
      </w:r>
      <w:proofErr w:type="spellEnd"/>
      <w:r w:rsidRPr="001B609D">
        <w:rPr>
          <w:i/>
          <w:iCs/>
        </w:rPr>
        <w:t xml:space="preserve"> </w:t>
      </w:r>
      <w:proofErr w:type="spellStart"/>
      <w:r w:rsidRPr="001B609D">
        <w:rPr>
          <w:i/>
          <w:iCs/>
        </w:rPr>
        <w:t>moins</w:t>
      </w:r>
      <w:proofErr w:type="spellEnd"/>
      <w:r w:rsidRPr="001B609D">
        <w:rPr>
          <w:i/>
          <w:iCs/>
        </w:rPr>
        <w:t xml:space="preserve"> sentir </w:t>
      </w:r>
      <w:r w:rsidRPr="001B609D">
        <w:t>»  cuando, desde su primera publicación en 1978 (en « </w:t>
      </w:r>
      <w:r w:rsidRPr="001B609D">
        <w:rPr>
          <w:i/>
        </w:rPr>
        <w:t xml:space="preserve">Lacan en </w:t>
      </w:r>
      <w:proofErr w:type="spellStart"/>
      <w:r w:rsidRPr="001B609D">
        <w:rPr>
          <w:i/>
        </w:rPr>
        <w:t>Italie</w:t>
      </w:r>
      <w:proofErr w:type="spellEnd"/>
      <w:r w:rsidRPr="001B609D">
        <w:t>») hasta ahora, en las diferentes publicaciones de la "</w:t>
      </w:r>
      <w:r w:rsidRPr="001B609D">
        <w:rPr>
          <w:i/>
          <w:iCs/>
        </w:rPr>
        <w:t xml:space="preserve">Note </w:t>
      </w:r>
      <w:proofErr w:type="spellStart"/>
      <w:r w:rsidRPr="001B609D">
        <w:rPr>
          <w:i/>
          <w:iCs/>
        </w:rPr>
        <w:t>italienne</w:t>
      </w:r>
      <w:proofErr w:type="spellEnd"/>
      <w:r w:rsidRPr="001B609D">
        <w:t>" siempre había figurado lo siguiente: « </w:t>
      </w:r>
      <w:proofErr w:type="spellStart"/>
      <w:r w:rsidRPr="000D783C">
        <w:rPr>
          <w:i/>
          <w:iCs/>
        </w:rPr>
        <w:t>C’est</w:t>
      </w:r>
      <w:proofErr w:type="spellEnd"/>
      <w:r w:rsidRPr="000D783C">
        <w:rPr>
          <w:i/>
          <w:iCs/>
        </w:rPr>
        <w:t xml:space="preserve"> ce que </w:t>
      </w:r>
      <w:proofErr w:type="spellStart"/>
      <w:r w:rsidRPr="000D783C">
        <w:rPr>
          <w:i/>
          <w:iCs/>
        </w:rPr>
        <w:t>l’</w:t>
      </w:r>
      <w:r w:rsidRPr="000D783C">
        <w:rPr>
          <w:b/>
          <w:bCs/>
          <w:i/>
          <w:iCs/>
        </w:rPr>
        <w:t>analyse</w:t>
      </w:r>
      <w:proofErr w:type="spellEnd"/>
      <w:r w:rsidRPr="000D783C">
        <w:rPr>
          <w:i/>
          <w:iCs/>
        </w:rPr>
        <w:t xml:space="preserve"> a </w:t>
      </w:r>
      <w:proofErr w:type="spellStart"/>
      <w:r w:rsidRPr="000D783C">
        <w:rPr>
          <w:i/>
          <w:iCs/>
        </w:rPr>
        <w:t>dû</w:t>
      </w:r>
      <w:proofErr w:type="spellEnd"/>
      <w:r w:rsidRPr="000D783C">
        <w:rPr>
          <w:i/>
          <w:iCs/>
        </w:rPr>
        <w:t xml:space="preserve"> lui faire </w:t>
      </w:r>
      <w:proofErr w:type="spellStart"/>
      <w:r w:rsidRPr="000D783C">
        <w:rPr>
          <w:i/>
          <w:iCs/>
        </w:rPr>
        <w:t>au</w:t>
      </w:r>
      <w:proofErr w:type="spellEnd"/>
      <w:r w:rsidRPr="000D783C">
        <w:rPr>
          <w:i/>
          <w:iCs/>
        </w:rPr>
        <w:t xml:space="preserve"> </w:t>
      </w:r>
      <w:proofErr w:type="spellStart"/>
      <w:r w:rsidRPr="000D783C">
        <w:rPr>
          <w:i/>
          <w:iCs/>
        </w:rPr>
        <w:t>moins</w:t>
      </w:r>
      <w:proofErr w:type="spellEnd"/>
      <w:r w:rsidRPr="000D783C">
        <w:rPr>
          <w:i/>
          <w:iCs/>
        </w:rPr>
        <w:t xml:space="preserve"> sentir</w:t>
      </w:r>
      <w:r w:rsidRPr="001B609D">
        <w:rPr>
          <w:i/>
          <w:iCs/>
        </w:rPr>
        <w:t xml:space="preserve"> </w:t>
      </w:r>
      <w:r w:rsidRPr="00AE355C">
        <w:t xml:space="preserve">». </w:t>
      </w:r>
      <w:r w:rsidR="001B609D" w:rsidRPr="001B609D">
        <w:t>Así figura también en la versión que ofrece el sitio de la EPFCL (ver </w:t>
      </w:r>
      <w:hyperlink r:id="rId8" w:tgtFrame="display" w:history="1">
        <w:r w:rsidR="001B609D" w:rsidRPr="001B609D">
          <w:rPr>
            <w:rStyle w:val="Hipervnculo"/>
          </w:rPr>
          <w:t>aquí</w:t>
        </w:r>
      </w:hyperlink>
      <w:r w:rsidR="001B609D" w:rsidRPr="001B609D">
        <w:t>) así como en el "</w:t>
      </w:r>
      <w:r w:rsidR="001B609D" w:rsidRPr="001B609D">
        <w:rPr>
          <w:i/>
          <w:iCs/>
        </w:rPr>
        <w:t xml:space="preserve">Pas </w:t>
      </w:r>
      <w:proofErr w:type="spellStart"/>
      <w:r w:rsidR="001B609D" w:rsidRPr="001B609D">
        <w:rPr>
          <w:i/>
          <w:iCs/>
        </w:rPr>
        <w:t>tout</w:t>
      </w:r>
      <w:proofErr w:type="spellEnd"/>
      <w:r w:rsidR="001B609D" w:rsidRPr="001B609D">
        <w:rPr>
          <w:i/>
          <w:iCs/>
        </w:rPr>
        <w:t xml:space="preserve"> Lacan</w:t>
      </w:r>
      <w:r w:rsidR="001B609D" w:rsidRPr="001B609D">
        <w:t>" de la </w:t>
      </w:r>
      <w:proofErr w:type="spellStart"/>
      <w:r w:rsidR="001B609D" w:rsidRPr="001B609D">
        <w:rPr>
          <w:i/>
          <w:iCs/>
        </w:rPr>
        <w:t>école</w:t>
      </w:r>
      <w:proofErr w:type="spellEnd"/>
      <w:r w:rsidR="001B609D" w:rsidRPr="001B609D">
        <w:rPr>
          <w:i/>
          <w:iCs/>
        </w:rPr>
        <w:t xml:space="preserve"> </w:t>
      </w:r>
      <w:proofErr w:type="spellStart"/>
      <w:r w:rsidR="001B609D" w:rsidRPr="001B609D">
        <w:rPr>
          <w:i/>
          <w:iCs/>
        </w:rPr>
        <w:t>lacanienne</w:t>
      </w:r>
      <w:proofErr w:type="spellEnd"/>
      <w:r w:rsidR="001B609D" w:rsidRPr="001B609D">
        <w:rPr>
          <w:i/>
          <w:iCs/>
        </w:rPr>
        <w:t xml:space="preserve"> de </w:t>
      </w:r>
      <w:proofErr w:type="spellStart"/>
      <w:r w:rsidR="001B609D" w:rsidRPr="001B609D">
        <w:rPr>
          <w:i/>
          <w:iCs/>
        </w:rPr>
        <w:t>psychanalyse</w:t>
      </w:r>
      <w:proofErr w:type="spellEnd"/>
      <w:r w:rsidR="001B609D" w:rsidRPr="001B609D">
        <w:t> (ver </w:t>
      </w:r>
      <w:hyperlink r:id="rId9" w:tgtFrame="display" w:history="1">
        <w:r w:rsidR="001B609D" w:rsidRPr="001B609D">
          <w:rPr>
            <w:rStyle w:val="Hipervnculo"/>
          </w:rPr>
          <w:t>aquí</w:t>
        </w:r>
      </w:hyperlink>
      <w:r w:rsidR="001B609D" w:rsidRPr="001B609D">
        <w:t>)</w:t>
      </w:r>
      <w:r w:rsidR="001B609D">
        <w:t>.</w:t>
      </w:r>
      <w:r w:rsidR="001B609D" w:rsidRPr="001B609D">
        <w:t xml:space="preserve"> </w:t>
      </w:r>
      <w:r w:rsidRPr="00AE355C">
        <w:t xml:space="preserve">De hecho, así es cómo fue tomado en la traducción de Gallano y Mira (autorizada por </w:t>
      </w:r>
      <w:r w:rsidR="001B609D">
        <w:t>Miller</w:t>
      </w:r>
      <w:r w:rsidRPr="00AE355C">
        <w:t>) desde 1990: "</w:t>
      </w:r>
      <w:r w:rsidRPr="00AE355C">
        <w:rPr>
          <w:i/>
          <w:iCs/>
        </w:rPr>
        <w:t>Es lo que el </w:t>
      </w:r>
      <w:r w:rsidRPr="00AE355C">
        <w:rPr>
          <w:b/>
          <w:bCs/>
          <w:i/>
          <w:iCs/>
        </w:rPr>
        <w:t>análisis</w:t>
      </w:r>
      <w:r w:rsidRPr="00AE355C">
        <w:rPr>
          <w:i/>
          <w:iCs/>
        </w:rPr>
        <w:t> ha de</w:t>
      </w:r>
      <w:r w:rsidR="001B609D">
        <w:rPr>
          <w:i/>
          <w:iCs/>
        </w:rPr>
        <w:t>bido, al menos, hacerle sentir</w:t>
      </w:r>
      <w:r w:rsidRPr="00AE355C">
        <w:t>"</w:t>
      </w:r>
      <w:r w:rsidR="001B609D">
        <w:rPr>
          <w:rStyle w:val="Refdenotaalpie"/>
        </w:rPr>
        <w:footnoteReference w:id="25"/>
      </w:r>
      <w:r w:rsidRPr="00AE355C">
        <w:t>.</w:t>
      </w:r>
    </w:p>
    <w:p w:rsidR="00AE355C" w:rsidRPr="00AE355C" w:rsidRDefault="00AE355C" w:rsidP="00FC0F2C">
      <w:r w:rsidRPr="00AE355C">
        <w:t>¿A qué se debe esta modificación del texto de la carta de Lacan en "</w:t>
      </w:r>
      <w:proofErr w:type="spellStart"/>
      <w:r w:rsidRPr="00AE355C">
        <w:rPr>
          <w:i/>
          <w:iCs/>
        </w:rPr>
        <w:t>Autres</w:t>
      </w:r>
      <w:proofErr w:type="spellEnd"/>
      <w:r w:rsidRPr="00AE355C">
        <w:rPr>
          <w:i/>
          <w:iCs/>
        </w:rPr>
        <w:t xml:space="preserve"> </w:t>
      </w:r>
      <w:proofErr w:type="spellStart"/>
      <w:r w:rsidRPr="00AE355C">
        <w:rPr>
          <w:i/>
          <w:iCs/>
        </w:rPr>
        <w:t>écrits</w:t>
      </w:r>
      <w:proofErr w:type="spellEnd"/>
      <w:r w:rsidRPr="00AE355C">
        <w:t>"? Si solo se trat</w:t>
      </w:r>
      <w:r w:rsidR="00C9733F">
        <w:t>ó</w:t>
      </w:r>
      <w:r w:rsidRPr="00AE355C">
        <w:t xml:space="preserve"> de una "errata"</w:t>
      </w:r>
      <w:r w:rsidR="00C9733F">
        <w:t xml:space="preserve"> en la versión francesa</w:t>
      </w:r>
      <w:r w:rsidRPr="00AE355C">
        <w:t xml:space="preserve">, </w:t>
      </w:r>
      <w:proofErr w:type="gramStart"/>
      <w:r w:rsidRPr="00AE355C">
        <w:t>¿</w:t>
      </w:r>
      <w:proofErr w:type="gramEnd"/>
      <w:r w:rsidRPr="00AE355C">
        <w:t>por qué los traductores al castellano de la edición Paidós de "</w:t>
      </w:r>
      <w:r w:rsidRPr="00AE355C">
        <w:rPr>
          <w:i/>
          <w:iCs/>
        </w:rPr>
        <w:t>Otros escritos</w:t>
      </w:r>
      <w:r w:rsidRPr="00AE355C">
        <w:t>" no la hicieron valer como tal</w:t>
      </w:r>
      <w:r w:rsidR="001B609D">
        <w:rPr>
          <w:rStyle w:val="Refdenotaalpie"/>
        </w:rPr>
        <w:footnoteReference w:id="26"/>
      </w:r>
      <w:r w:rsidRPr="00AE355C">
        <w:t> , y en cambio la han tomado por válida, escribiendo: "</w:t>
      </w:r>
      <w:r w:rsidRPr="00AE355C">
        <w:rPr>
          <w:i/>
          <w:iCs/>
        </w:rPr>
        <w:t>Es lo que el </w:t>
      </w:r>
      <w:r w:rsidRPr="00AE355C">
        <w:rPr>
          <w:b/>
          <w:bCs/>
          <w:i/>
          <w:iCs/>
        </w:rPr>
        <w:t>analista</w:t>
      </w:r>
      <w:r w:rsidRPr="00AE355C">
        <w:rPr>
          <w:i/>
          <w:iCs/>
        </w:rPr>
        <w:t> ha debido…</w:t>
      </w:r>
      <w:r w:rsidRPr="00AE355C">
        <w:t>" </w:t>
      </w:r>
      <w:r w:rsidR="001B609D">
        <w:t xml:space="preserve"> (</w:t>
      </w:r>
      <w:proofErr w:type="gramStart"/>
      <w:r w:rsidR="001B609D">
        <w:t>página</w:t>
      </w:r>
      <w:proofErr w:type="gramEnd"/>
      <w:r w:rsidR="001B609D">
        <w:t xml:space="preserve"> 329 de “Otros escritos”)</w:t>
      </w:r>
      <w:r w:rsidRPr="00AE355C">
        <w:t>?</w:t>
      </w:r>
    </w:p>
    <w:p w:rsidR="00AE355C" w:rsidRPr="00AE355C" w:rsidRDefault="00AE355C" w:rsidP="00FC0F2C">
      <w:r w:rsidRPr="00AE355C">
        <w:t xml:space="preserve">Si </w:t>
      </w:r>
      <w:r w:rsidR="00D7477C">
        <w:t xml:space="preserve">(como Lacan indica en el párrafo anterior) </w:t>
      </w:r>
      <w:r w:rsidRPr="00AE355C">
        <w:t>para saber "</w:t>
      </w:r>
      <w:r w:rsidRPr="00AE355C">
        <w:rPr>
          <w:i/>
          <w:iCs/>
        </w:rPr>
        <w:t>ser un desecho</w:t>
      </w:r>
      <w:r w:rsidRPr="00AE355C">
        <w:t>"</w:t>
      </w:r>
      <w:r w:rsidR="00D7477C">
        <w:t xml:space="preserve"> (“</w:t>
      </w:r>
      <w:proofErr w:type="spellStart"/>
      <w:r w:rsidR="00D7477C">
        <w:t>rebut</w:t>
      </w:r>
      <w:proofErr w:type="spellEnd"/>
      <w:r w:rsidR="00D7477C">
        <w:t>”)</w:t>
      </w:r>
      <w:r w:rsidR="00D7477C">
        <w:rPr>
          <w:rStyle w:val="Refdenotaalpie"/>
        </w:rPr>
        <w:footnoteReference w:id="27"/>
      </w:r>
      <w:r w:rsidRPr="00AE355C">
        <w:t>, el analista "</w:t>
      </w:r>
      <w:r w:rsidRPr="00AE355C">
        <w:rPr>
          <w:i/>
          <w:iCs/>
        </w:rPr>
        <w:t>debe haber cernido la causa" </w:t>
      </w:r>
      <w:r w:rsidRPr="00AE355C">
        <w:t>de su "</w:t>
      </w:r>
      <w:r w:rsidRPr="00AE355C">
        <w:rPr>
          <w:i/>
          <w:iCs/>
        </w:rPr>
        <w:t>horror de saber</w:t>
      </w:r>
      <w:r w:rsidRPr="00AE355C">
        <w:t>", es evidente el contrasentido que implica decir que eso sea lo que "</w:t>
      </w:r>
      <w:r w:rsidRPr="00AE355C">
        <w:rPr>
          <w:i/>
          <w:iCs/>
        </w:rPr>
        <w:t>ha debido, al menos, hacerle sentir</w:t>
      </w:r>
      <w:r w:rsidRPr="00AE355C">
        <w:t>" su "</w:t>
      </w:r>
      <w:r w:rsidRPr="00D7477C">
        <w:rPr>
          <w:b/>
          <w:i/>
          <w:iCs/>
        </w:rPr>
        <w:t>analista</w:t>
      </w:r>
      <w:r w:rsidRPr="00AE355C">
        <w:t>" en lugar de su "</w:t>
      </w:r>
      <w:r w:rsidRPr="00D7477C">
        <w:rPr>
          <w:b/>
          <w:i/>
          <w:iCs/>
        </w:rPr>
        <w:t>análisis</w:t>
      </w:r>
      <w:r w:rsidRPr="00AE355C">
        <w:t>". Escribir "</w:t>
      </w:r>
      <w:r w:rsidRPr="00D7477C">
        <w:rPr>
          <w:i/>
        </w:rPr>
        <w:t>analista</w:t>
      </w:r>
      <w:r w:rsidRPr="00AE355C">
        <w:t>" implicaría una común medida entre "</w:t>
      </w:r>
      <w:r w:rsidRPr="00AE355C">
        <w:rPr>
          <w:i/>
          <w:iCs/>
        </w:rPr>
        <w:t>la causa de su horror</w:t>
      </w:r>
      <w:r w:rsidR="001B609D" w:rsidRPr="00AE355C">
        <w:t>”,</w:t>
      </w:r>
      <w:r w:rsidRPr="00AE355C">
        <w:t xml:space="preserve"> del analizante, y la de su "analista" (amén de la pregunta que surgiría respecto de cómo un "analista" podría "</w:t>
      </w:r>
      <w:r w:rsidRPr="00AE355C">
        <w:rPr>
          <w:i/>
          <w:iCs/>
        </w:rPr>
        <w:t>hacerle sentir</w:t>
      </w:r>
      <w:r w:rsidRPr="00AE355C">
        <w:t xml:space="preserve">" cosas a sus analizantes). En cambio </w:t>
      </w:r>
      <w:proofErr w:type="spellStart"/>
      <w:r w:rsidRPr="00AE355C">
        <w:t>si</w:t>
      </w:r>
      <w:proofErr w:type="spellEnd"/>
      <w:r w:rsidRPr="00AE355C">
        <w:t>, como escribe Lacan, la "</w:t>
      </w:r>
      <w:r w:rsidRPr="00AE355C">
        <w:rPr>
          <w:i/>
          <w:iCs/>
        </w:rPr>
        <w:t>causa</w:t>
      </w:r>
      <w:r w:rsidRPr="00AE355C">
        <w:t>" que "</w:t>
      </w:r>
      <w:r w:rsidRPr="00AE355C">
        <w:rPr>
          <w:i/>
          <w:iCs/>
        </w:rPr>
        <w:t>debe haber cernido</w:t>
      </w:r>
      <w:r w:rsidRPr="00AE355C">
        <w:t>" es la de "</w:t>
      </w:r>
      <w:r w:rsidRPr="00AE355C">
        <w:rPr>
          <w:i/>
          <w:iCs/>
        </w:rPr>
        <w:t>su horror, del propio, el suyo, </w:t>
      </w:r>
      <w:r w:rsidRPr="00AE355C">
        <w:rPr>
          <w:b/>
          <w:bCs/>
          <w:i/>
          <w:iCs/>
        </w:rPr>
        <w:t>separado del de todos</w:t>
      </w:r>
      <w:r w:rsidRPr="00AE355C">
        <w:rPr>
          <w:i/>
          <w:iCs/>
        </w:rPr>
        <w:t>, horror de saber</w:t>
      </w:r>
      <w:r w:rsidRPr="00AE355C">
        <w:t>"</w:t>
      </w:r>
      <w:r w:rsidR="001B609D">
        <w:rPr>
          <w:rStyle w:val="Refdenotaalpie"/>
        </w:rPr>
        <w:footnoteReference w:id="28"/>
      </w:r>
      <w:r w:rsidRPr="00AE355C">
        <w:t> , entonces eso es algo que solo puede correr por cuenta de su "</w:t>
      </w:r>
      <w:r w:rsidRPr="00D7477C">
        <w:rPr>
          <w:b/>
          <w:i/>
        </w:rPr>
        <w:t>análisis</w:t>
      </w:r>
      <w:r w:rsidRPr="00AE355C">
        <w:t>".</w:t>
      </w:r>
    </w:p>
    <w:p w:rsidR="00AE355C" w:rsidRDefault="00932CCE" w:rsidP="00FC0F2C">
      <w:r w:rsidRPr="00932CCE">
        <w:t xml:space="preserve">Paradójicamente, el forzamiento, en la edición castellana del libro de </w:t>
      </w:r>
      <w:r>
        <w:t>Soler</w:t>
      </w:r>
      <w:r w:rsidRPr="00932CCE">
        <w:t>, de traducir "</w:t>
      </w:r>
      <w:r w:rsidRPr="00932CCE">
        <w:rPr>
          <w:i/>
          <w:iCs/>
        </w:rPr>
        <w:t>conducido</w:t>
      </w:r>
      <w:r w:rsidRPr="00932CCE">
        <w:t>", a pesar de ser anterior, cronológicamente, a la edición Paidós de "</w:t>
      </w:r>
      <w:r w:rsidRPr="00932CCE">
        <w:rPr>
          <w:i/>
          <w:iCs/>
        </w:rPr>
        <w:t>Otros escritos</w:t>
      </w:r>
      <w:r w:rsidRPr="00932CCE">
        <w:t>", se alinea cabalmente con las implicaciones de la modificación que ahí se hace de la frase anterior. En efecto, si es del "</w:t>
      </w:r>
      <w:r w:rsidRPr="00932CCE">
        <w:rPr>
          <w:i/>
        </w:rPr>
        <w:t>analista</w:t>
      </w:r>
      <w:r w:rsidRPr="00932CCE">
        <w:t>" de quien depende que el analizante "sienta" que es un "</w:t>
      </w:r>
      <w:r w:rsidRPr="00932CCE">
        <w:rPr>
          <w:i/>
        </w:rPr>
        <w:t>desecho</w:t>
      </w:r>
      <w:r w:rsidRPr="00932CCE">
        <w:t>", y así alcance el "</w:t>
      </w:r>
      <w:r w:rsidRPr="00932CCE">
        <w:rPr>
          <w:i/>
        </w:rPr>
        <w:t>entusiasmo</w:t>
      </w:r>
      <w:r w:rsidRPr="00932CCE">
        <w:t>" (que atestiguaría su conversión en analista), el verbo "</w:t>
      </w:r>
      <w:r w:rsidRPr="00932CCE">
        <w:rPr>
          <w:i/>
          <w:iCs/>
        </w:rPr>
        <w:t>conducir</w:t>
      </w:r>
      <w:r w:rsidRPr="00932CCE">
        <w:t>" resulta muy adecuado para dar cuenta de esa operación. Y la omisión lisa y llana del "</w:t>
      </w:r>
      <w:r w:rsidRPr="00932CCE">
        <w:rPr>
          <w:i/>
        </w:rPr>
        <w:t>en</w:t>
      </w:r>
      <w:r w:rsidRPr="00932CCE">
        <w:t>" francés es tanto o más "conveniente" que el forzamiento al que se ve obligada Esperanza con ese masculino "</w:t>
      </w:r>
      <w:r w:rsidRPr="00932CCE">
        <w:rPr>
          <w:i/>
        </w:rPr>
        <w:t>él</w:t>
      </w:r>
      <w:r w:rsidRPr="00932CCE">
        <w:t>" del pronombre de tercera persona</w:t>
      </w:r>
    </w:p>
    <w:p w:rsidR="00FC0F2C" w:rsidRDefault="00FC0F2C" w:rsidP="00932CCE"/>
    <w:p w:rsidR="00932CCE" w:rsidRDefault="00932CCE" w:rsidP="00FC0F2C">
      <w:pPr>
        <w:pStyle w:val="Prrafodelista"/>
        <w:numPr>
          <w:ilvl w:val="0"/>
          <w:numId w:val="2"/>
        </w:numPr>
      </w:pPr>
      <w:r>
        <w:lastRenderedPageBreak/>
        <w:t xml:space="preserve">Página 328: </w:t>
      </w:r>
      <w:r w:rsidRPr="00932CCE">
        <w:t>"</w:t>
      </w:r>
      <w:r w:rsidRPr="00FC0F2C">
        <w:rPr>
          <w:i/>
          <w:iCs/>
        </w:rPr>
        <w:t xml:space="preserve">No-todo ser que habla podría autorizarse a </w:t>
      </w:r>
      <w:r w:rsidRPr="00FC0F2C">
        <w:rPr>
          <w:b/>
          <w:bCs/>
          <w:i/>
          <w:iCs/>
        </w:rPr>
        <w:t>hacerse analista</w:t>
      </w:r>
      <w:r w:rsidRPr="00FC0F2C">
        <w:rPr>
          <w:i/>
          <w:iCs/>
        </w:rPr>
        <w:t>. Prueba de ello es que el análisis es ahí necesario, aunque no es suficiente</w:t>
      </w:r>
      <w:r w:rsidRPr="00932CCE">
        <w:t>"  (subrayado mío)</w:t>
      </w:r>
    </w:p>
    <w:p w:rsidR="00595240" w:rsidRDefault="00932CCE" w:rsidP="008C1E32">
      <w:pPr>
        <w:ind w:left="708"/>
        <w:rPr>
          <w:lang w:val="fr-FR"/>
        </w:rPr>
      </w:pPr>
      <w:r w:rsidRPr="00932CCE">
        <w:rPr>
          <w:lang w:val="fr-FR"/>
        </w:rPr>
        <w:t xml:space="preserve">En </w:t>
      </w:r>
      <w:proofErr w:type="spellStart"/>
      <w:r w:rsidRPr="00932CCE">
        <w:rPr>
          <w:lang w:val="fr-FR"/>
        </w:rPr>
        <w:t>francés</w:t>
      </w:r>
      <w:proofErr w:type="spellEnd"/>
      <w:r w:rsidRPr="00932CCE">
        <w:rPr>
          <w:lang w:val="fr-FR"/>
        </w:rPr>
        <w:t xml:space="preserve"> </w:t>
      </w:r>
      <w:proofErr w:type="spellStart"/>
      <w:r w:rsidRPr="00932CCE">
        <w:rPr>
          <w:lang w:val="fr-FR"/>
        </w:rPr>
        <w:t>dice</w:t>
      </w:r>
      <w:proofErr w:type="spellEnd"/>
      <w:r w:rsidRPr="00932CCE">
        <w:rPr>
          <w:lang w:val="fr-FR"/>
        </w:rPr>
        <w:t xml:space="preserve"> «</w:t>
      </w:r>
      <w:r w:rsidRPr="00932CCE">
        <w:rPr>
          <w:i/>
          <w:iCs/>
          <w:lang w:val="fr-FR"/>
        </w:rPr>
        <w:t>Pas-tout être à parler ne saurait s’autoriser à </w:t>
      </w:r>
      <w:r w:rsidRPr="00932CCE">
        <w:rPr>
          <w:b/>
          <w:bCs/>
          <w:i/>
          <w:iCs/>
          <w:lang w:val="fr-FR"/>
        </w:rPr>
        <w:t>faire un analyste</w:t>
      </w:r>
      <w:r w:rsidRPr="00932CCE">
        <w:rPr>
          <w:i/>
          <w:iCs/>
          <w:lang w:val="fr-FR"/>
        </w:rPr>
        <w:t>. A preuve que l’analyse est nécessaire, encore n’est-elle pas suffisante</w:t>
      </w:r>
      <w:r w:rsidRPr="00932CCE">
        <w:rPr>
          <w:lang w:val="fr-FR"/>
        </w:rPr>
        <w:t>»</w:t>
      </w:r>
      <w:r>
        <w:rPr>
          <w:rStyle w:val="Refdenotaalpie"/>
          <w:lang w:val="fr-FR"/>
        </w:rPr>
        <w:footnoteReference w:id="29"/>
      </w:r>
      <w:r w:rsidRPr="00932CCE">
        <w:rPr>
          <w:lang w:val="fr-FR"/>
        </w:rPr>
        <w:t> (</w:t>
      </w:r>
      <w:proofErr w:type="spellStart"/>
      <w:r w:rsidRPr="00932CCE">
        <w:rPr>
          <w:lang w:val="fr-FR"/>
        </w:rPr>
        <w:t>subrayado</w:t>
      </w:r>
      <w:proofErr w:type="spellEnd"/>
      <w:r w:rsidRPr="00932CCE">
        <w:rPr>
          <w:lang w:val="fr-FR"/>
        </w:rPr>
        <w:t xml:space="preserve"> </w:t>
      </w:r>
      <w:proofErr w:type="spellStart"/>
      <w:r w:rsidRPr="00932CCE">
        <w:rPr>
          <w:lang w:val="fr-FR"/>
        </w:rPr>
        <w:t>mío</w:t>
      </w:r>
      <w:proofErr w:type="spellEnd"/>
      <w:r w:rsidRPr="00932CCE">
        <w:rPr>
          <w:lang w:val="fr-FR"/>
        </w:rPr>
        <w:t xml:space="preserve">). </w:t>
      </w:r>
    </w:p>
    <w:p w:rsidR="00932CCE" w:rsidRDefault="00932CCE" w:rsidP="00595240">
      <w:r w:rsidRPr="00932CCE">
        <w:t>Gallano y Mira ya habían percibido que no es lo mismo decir « </w:t>
      </w:r>
      <w:r w:rsidRPr="00932CCE">
        <w:rPr>
          <w:i/>
          <w:iCs/>
        </w:rPr>
        <w:t xml:space="preserve">faire un </w:t>
      </w:r>
      <w:proofErr w:type="spellStart"/>
      <w:r w:rsidRPr="00932CCE">
        <w:rPr>
          <w:i/>
          <w:iCs/>
        </w:rPr>
        <w:t>analyste</w:t>
      </w:r>
      <w:proofErr w:type="spellEnd"/>
      <w:r w:rsidRPr="00932CCE">
        <w:rPr>
          <w:i/>
          <w:iCs/>
        </w:rPr>
        <w:t> </w:t>
      </w:r>
      <w:r w:rsidRPr="00932CCE">
        <w:t>» que « </w:t>
      </w:r>
      <w:r w:rsidRPr="00932CCE">
        <w:rPr>
          <w:i/>
          <w:iCs/>
        </w:rPr>
        <w:t xml:space="preserve">se faire </w:t>
      </w:r>
      <w:proofErr w:type="spellStart"/>
      <w:r w:rsidRPr="00932CCE">
        <w:rPr>
          <w:i/>
          <w:iCs/>
        </w:rPr>
        <w:t>analyste</w:t>
      </w:r>
      <w:proofErr w:type="spellEnd"/>
      <w:r w:rsidRPr="00932CCE">
        <w:rPr>
          <w:i/>
          <w:iCs/>
        </w:rPr>
        <w:t> </w:t>
      </w:r>
      <w:r w:rsidRPr="00932CCE">
        <w:t>», que es lo que correspondería a la traducción que propone Esperanza, y por eso se atuvieron a una traducción más literal: "</w:t>
      </w:r>
      <w:r w:rsidRPr="00932CCE">
        <w:rPr>
          <w:i/>
          <w:iCs/>
        </w:rPr>
        <w:t>hacer un analista</w:t>
      </w:r>
      <w:r w:rsidRPr="00932CCE">
        <w:t>"</w:t>
      </w:r>
      <w:r w:rsidR="00595240">
        <w:rPr>
          <w:rStyle w:val="Refdenotaalpie"/>
        </w:rPr>
        <w:footnoteReference w:id="30"/>
      </w:r>
      <w:r w:rsidRPr="00932CCE">
        <w:t>. Ahora bien, la introducción de ese "</w:t>
      </w:r>
      <w:r w:rsidRPr="00932CCE">
        <w:rPr>
          <w:i/>
        </w:rPr>
        <w:t>se</w:t>
      </w:r>
      <w:r w:rsidRPr="00932CCE">
        <w:t>" reflexivo en la traducción de Esperanza no cae del cielo. Es la consecuencia directa del modo en que traduce la fórmula de la autorización del analista, que aparece unos renglones antes</w:t>
      </w:r>
      <w:r w:rsidR="00595240">
        <w:t>, y que hemos comentado más arriba.</w:t>
      </w:r>
    </w:p>
    <w:p w:rsidR="001711ED" w:rsidRDefault="001711ED" w:rsidP="001711ED"/>
    <w:p w:rsidR="001711ED" w:rsidRPr="00595240" w:rsidRDefault="001711ED" w:rsidP="00595240">
      <w:pPr>
        <w:jc w:val="center"/>
        <w:rPr>
          <w:b/>
          <w:sz w:val="24"/>
        </w:rPr>
      </w:pPr>
      <w:r w:rsidRPr="00595240">
        <w:rPr>
          <w:b/>
          <w:sz w:val="24"/>
        </w:rPr>
        <w:t>El psicoanálisis. Razón de un fracaso</w:t>
      </w:r>
    </w:p>
    <w:p w:rsidR="001711ED" w:rsidRDefault="001711ED" w:rsidP="00595240">
      <w:pPr>
        <w:jc w:val="center"/>
      </w:pPr>
      <w:r>
        <w:t>(“Otros escritos” páginas 361 a</w:t>
      </w:r>
      <w:r w:rsidR="00AF60BA">
        <w:t xml:space="preserve"> 369</w:t>
      </w:r>
      <w:r>
        <w:t>)</w:t>
      </w:r>
    </w:p>
    <w:p w:rsidR="001711ED" w:rsidRDefault="001711ED" w:rsidP="00595240">
      <w:pPr>
        <w:pStyle w:val="Prrafodelista"/>
        <w:numPr>
          <w:ilvl w:val="0"/>
          <w:numId w:val="2"/>
        </w:numPr>
      </w:pPr>
      <w:r>
        <w:t>Página 361: “</w:t>
      </w:r>
      <w:r w:rsidRPr="00595240">
        <w:rPr>
          <w:i/>
        </w:rPr>
        <w:t xml:space="preserve">Una pizca de entusiasmo (…) acogió esas </w:t>
      </w:r>
      <w:r w:rsidRPr="008105AB">
        <w:rPr>
          <w:b/>
          <w:i/>
        </w:rPr>
        <w:t>palabras</w:t>
      </w:r>
      <w:r w:rsidRPr="00595240">
        <w:rPr>
          <w:i/>
        </w:rPr>
        <w:t xml:space="preserve"> que fueron entonces tan </w:t>
      </w:r>
      <w:r w:rsidRPr="00595240">
        <w:rPr>
          <w:b/>
          <w:i/>
        </w:rPr>
        <w:t>desleídas</w:t>
      </w:r>
      <w:r w:rsidRPr="00595240">
        <w:rPr>
          <w:i/>
        </w:rPr>
        <w:t xml:space="preserve"> que la </w:t>
      </w:r>
      <w:r w:rsidRPr="00595240">
        <w:rPr>
          <w:b/>
          <w:i/>
        </w:rPr>
        <w:t>espátula</w:t>
      </w:r>
      <w:r w:rsidRPr="00595240">
        <w:rPr>
          <w:i/>
        </w:rPr>
        <w:t xml:space="preserve"> no las abandonó más por diez años</w:t>
      </w:r>
      <w:r>
        <w:t>”</w:t>
      </w:r>
    </w:p>
    <w:p w:rsidR="00595240" w:rsidRPr="00AF60BA" w:rsidRDefault="00595240" w:rsidP="00595240">
      <w:pPr>
        <w:ind w:left="708"/>
        <w:rPr>
          <w:lang w:val="fr-FR"/>
        </w:rPr>
      </w:pPr>
      <w:r w:rsidRPr="00AF60BA">
        <w:rPr>
          <w:lang w:val="fr-FR"/>
        </w:rPr>
        <w:t xml:space="preserve">En </w:t>
      </w:r>
      <w:proofErr w:type="spellStart"/>
      <w:r w:rsidRPr="00AF60BA">
        <w:rPr>
          <w:lang w:val="fr-FR"/>
        </w:rPr>
        <w:t>francés</w:t>
      </w:r>
      <w:proofErr w:type="spellEnd"/>
      <w:r w:rsidRPr="00AF60BA">
        <w:rPr>
          <w:lang w:val="fr-FR"/>
        </w:rPr>
        <w:t xml:space="preserve"> figura: </w:t>
      </w:r>
      <w:r w:rsidR="00AF60BA">
        <w:rPr>
          <w:lang w:val="fr-FR"/>
        </w:rPr>
        <w:t>« </w:t>
      </w:r>
      <w:r w:rsidR="00AF60BA" w:rsidRPr="00AF60BA">
        <w:rPr>
          <w:i/>
          <w:lang w:val="fr-FR"/>
        </w:rPr>
        <w:t xml:space="preserve">Un rien d’enthousiasme (…) accueillit ces </w:t>
      </w:r>
      <w:r w:rsidR="00AF60BA" w:rsidRPr="008105AB">
        <w:rPr>
          <w:b/>
          <w:i/>
          <w:lang w:val="fr-FR"/>
        </w:rPr>
        <w:t>propos</w:t>
      </w:r>
      <w:r w:rsidR="00AF60BA" w:rsidRPr="00AF60BA">
        <w:rPr>
          <w:i/>
          <w:lang w:val="fr-FR"/>
        </w:rPr>
        <w:t xml:space="preserve"> qui en furent si </w:t>
      </w:r>
      <w:r w:rsidR="00AF60BA" w:rsidRPr="00AF60BA">
        <w:rPr>
          <w:b/>
          <w:i/>
          <w:lang w:val="fr-FR"/>
        </w:rPr>
        <w:t>gâchés là</w:t>
      </w:r>
      <w:r w:rsidR="00AF60BA" w:rsidRPr="00AF60BA">
        <w:rPr>
          <w:i/>
          <w:lang w:val="fr-FR"/>
        </w:rPr>
        <w:t xml:space="preserve">, que </w:t>
      </w:r>
      <w:r w:rsidR="00AF60BA" w:rsidRPr="00AF60BA">
        <w:rPr>
          <w:b/>
          <w:i/>
          <w:lang w:val="fr-FR"/>
        </w:rPr>
        <w:t>la gâche</w:t>
      </w:r>
      <w:r w:rsidR="00AF60BA" w:rsidRPr="00AF60BA">
        <w:rPr>
          <w:i/>
          <w:lang w:val="fr-FR"/>
        </w:rPr>
        <w:t xml:space="preserve"> ne les quitta plus pour dix ans</w:t>
      </w:r>
      <w:r w:rsidR="00AF60BA">
        <w:rPr>
          <w:lang w:val="fr-FR"/>
        </w:rPr>
        <w:t xml:space="preserve"> » (página 342 </w:t>
      </w:r>
      <w:r w:rsidR="008105AB">
        <w:rPr>
          <w:lang w:val="fr-FR"/>
        </w:rPr>
        <w:t>de</w:t>
      </w:r>
      <w:r w:rsidR="00AF60BA">
        <w:rPr>
          <w:lang w:val="fr-FR"/>
        </w:rPr>
        <w:t xml:space="preserve"> « Autres écrits »)</w:t>
      </w:r>
    </w:p>
    <w:p w:rsidR="001711ED" w:rsidRDefault="001711ED" w:rsidP="00595240">
      <w:r>
        <w:t>En el término “espátula”, Graciela Esperanza coloca una nota a pie de página donde señala: “</w:t>
      </w:r>
      <w:r w:rsidRPr="00AF60BA">
        <w:rPr>
          <w:i/>
        </w:rPr>
        <w:t>Juego de palabras entre el verbo “</w:t>
      </w:r>
      <w:proofErr w:type="spellStart"/>
      <w:r w:rsidRPr="00AF60BA">
        <w:t>gâcher</w:t>
      </w:r>
      <w:proofErr w:type="spellEnd"/>
      <w:r w:rsidRPr="00AF60BA">
        <w:rPr>
          <w:i/>
        </w:rPr>
        <w:t>”, una de cuyas significaciones es “</w:t>
      </w:r>
      <w:proofErr w:type="spellStart"/>
      <w:r w:rsidRPr="00AF60BA">
        <w:t>desleir</w:t>
      </w:r>
      <w:proofErr w:type="spellEnd"/>
      <w:r w:rsidRPr="00AF60BA">
        <w:rPr>
          <w:i/>
        </w:rPr>
        <w:t>” o “</w:t>
      </w:r>
      <w:r w:rsidRPr="00AF60BA">
        <w:t>diluir</w:t>
      </w:r>
      <w:r w:rsidRPr="00AF60BA">
        <w:rPr>
          <w:i/>
        </w:rPr>
        <w:t>”, y “</w:t>
      </w:r>
      <w:proofErr w:type="spellStart"/>
      <w:r w:rsidRPr="00AF60BA">
        <w:t>gâche</w:t>
      </w:r>
      <w:proofErr w:type="spellEnd"/>
      <w:r w:rsidRPr="00AF60BA">
        <w:rPr>
          <w:i/>
        </w:rPr>
        <w:t>”, “</w:t>
      </w:r>
      <w:r w:rsidRPr="00AF60BA">
        <w:t>espátula, instrumento que puede usarse para este fin</w:t>
      </w:r>
      <w:r w:rsidRPr="00AF60BA">
        <w:rPr>
          <w:i/>
        </w:rPr>
        <w:t>”. Véase la nota n° 2 de “</w:t>
      </w:r>
      <w:r w:rsidRPr="00AF60BA">
        <w:t>Alocución sobre las psicosis del niño</w:t>
      </w:r>
      <w:r w:rsidRPr="00AF60BA">
        <w:rPr>
          <w:i/>
        </w:rPr>
        <w:t>”, página 389 de este mismo volumen</w:t>
      </w:r>
      <w:r w:rsidR="00AF60BA">
        <w:t>”</w:t>
      </w:r>
      <w:r>
        <w:t>.</w:t>
      </w:r>
    </w:p>
    <w:p w:rsidR="008105AB" w:rsidRDefault="00AF60BA" w:rsidP="00595240">
      <w:r>
        <w:t>Es evidente que hay un juego de palabras. También es cierto que uno de los significados asociados a “</w:t>
      </w:r>
      <w:proofErr w:type="spellStart"/>
      <w:r w:rsidRPr="00AF60BA">
        <w:t>gâche</w:t>
      </w:r>
      <w:proofErr w:type="spellEnd"/>
      <w:r>
        <w:t xml:space="preserve">” es el de espátula </w:t>
      </w:r>
      <w:r w:rsidR="008105AB">
        <w:t>(“</w:t>
      </w:r>
      <w:proofErr w:type="spellStart"/>
      <w:r w:rsidR="008105AB" w:rsidRPr="000D783C">
        <w:rPr>
          <w:i/>
        </w:rPr>
        <w:t>Sorte</w:t>
      </w:r>
      <w:proofErr w:type="spellEnd"/>
      <w:r w:rsidR="008105AB" w:rsidRPr="000D783C">
        <w:rPr>
          <w:i/>
        </w:rPr>
        <w:t xml:space="preserve"> de </w:t>
      </w:r>
      <w:proofErr w:type="spellStart"/>
      <w:r w:rsidR="008105AB" w:rsidRPr="000D783C">
        <w:rPr>
          <w:i/>
        </w:rPr>
        <w:t>spatule</w:t>
      </w:r>
      <w:proofErr w:type="spellEnd"/>
      <w:r w:rsidR="008105AB" w:rsidRPr="000D783C">
        <w:rPr>
          <w:i/>
        </w:rPr>
        <w:t xml:space="preserve"> </w:t>
      </w:r>
      <w:proofErr w:type="spellStart"/>
      <w:r w:rsidR="008105AB" w:rsidRPr="000D783C">
        <w:rPr>
          <w:i/>
        </w:rPr>
        <w:t>dont</w:t>
      </w:r>
      <w:proofErr w:type="spellEnd"/>
      <w:r w:rsidR="008105AB" w:rsidRPr="000D783C">
        <w:rPr>
          <w:i/>
        </w:rPr>
        <w:t xml:space="preserve"> se </w:t>
      </w:r>
      <w:proofErr w:type="spellStart"/>
      <w:r w:rsidR="008105AB" w:rsidRPr="000D783C">
        <w:rPr>
          <w:i/>
        </w:rPr>
        <w:t>servent</w:t>
      </w:r>
      <w:proofErr w:type="spellEnd"/>
      <w:r w:rsidR="008105AB" w:rsidRPr="000D783C">
        <w:rPr>
          <w:i/>
        </w:rPr>
        <w:t xml:space="preserve"> les </w:t>
      </w:r>
      <w:proofErr w:type="spellStart"/>
      <w:r w:rsidR="008105AB" w:rsidRPr="000D783C">
        <w:rPr>
          <w:i/>
        </w:rPr>
        <w:t>pâtissiers</w:t>
      </w:r>
      <w:proofErr w:type="spellEnd"/>
      <w:r w:rsidR="008105AB">
        <w:t>”, “especie de espátula que utilizan los pasteleros”). Y también es cierto que uno de los sentidos asociados a “</w:t>
      </w:r>
      <w:proofErr w:type="spellStart"/>
      <w:r w:rsidR="008105AB" w:rsidRPr="008105AB">
        <w:t>gâcher</w:t>
      </w:r>
      <w:proofErr w:type="spellEnd"/>
      <w:r w:rsidR="008105AB">
        <w:t>” es “diluir” o “</w:t>
      </w:r>
      <w:proofErr w:type="spellStart"/>
      <w:r w:rsidR="008105AB">
        <w:t>desleir</w:t>
      </w:r>
      <w:proofErr w:type="spellEnd"/>
      <w:r w:rsidR="008105AB">
        <w:t>”: “</w:t>
      </w:r>
      <w:proofErr w:type="spellStart"/>
      <w:r w:rsidR="008105AB" w:rsidRPr="000D783C">
        <w:rPr>
          <w:i/>
        </w:rPr>
        <w:t>délayer</w:t>
      </w:r>
      <w:proofErr w:type="spellEnd"/>
      <w:r w:rsidR="008105AB" w:rsidRPr="000D783C">
        <w:rPr>
          <w:i/>
        </w:rPr>
        <w:t xml:space="preserve"> (le </w:t>
      </w:r>
      <w:proofErr w:type="spellStart"/>
      <w:r w:rsidR="008105AB" w:rsidRPr="000D783C">
        <w:rPr>
          <w:i/>
        </w:rPr>
        <w:t>plâtre</w:t>
      </w:r>
      <w:proofErr w:type="spellEnd"/>
      <w:r w:rsidR="008105AB" w:rsidRPr="000D783C">
        <w:rPr>
          <w:i/>
        </w:rPr>
        <w:t xml:space="preserve">, le </w:t>
      </w:r>
      <w:proofErr w:type="spellStart"/>
      <w:r w:rsidR="008105AB" w:rsidRPr="000D783C">
        <w:rPr>
          <w:i/>
        </w:rPr>
        <w:t>ciment</w:t>
      </w:r>
      <w:proofErr w:type="spellEnd"/>
      <w:r w:rsidR="008105AB" w:rsidRPr="000D783C">
        <w:rPr>
          <w:i/>
        </w:rPr>
        <w:t xml:space="preserve">, le </w:t>
      </w:r>
      <w:proofErr w:type="spellStart"/>
      <w:r w:rsidR="008105AB" w:rsidRPr="000D783C">
        <w:rPr>
          <w:i/>
        </w:rPr>
        <w:t>mortier</w:t>
      </w:r>
      <w:proofErr w:type="spellEnd"/>
      <w:r w:rsidR="008105AB" w:rsidRPr="000D783C">
        <w:rPr>
          <w:i/>
        </w:rPr>
        <w:t xml:space="preserve">) </w:t>
      </w:r>
      <w:proofErr w:type="spellStart"/>
      <w:r w:rsidR="008105AB" w:rsidRPr="000D783C">
        <w:rPr>
          <w:i/>
        </w:rPr>
        <w:t>avec</w:t>
      </w:r>
      <w:proofErr w:type="spellEnd"/>
      <w:r w:rsidR="008105AB" w:rsidRPr="000D783C">
        <w:rPr>
          <w:i/>
        </w:rPr>
        <w:t xml:space="preserve"> de </w:t>
      </w:r>
      <w:proofErr w:type="spellStart"/>
      <w:r w:rsidR="008105AB" w:rsidRPr="000D783C">
        <w:rPr>
          <w:i/>
        </w:rPr>
        <w:t>l'eau</w:t>
      </w:r>
      <w:proofErr w:type="spellEnd"/>
      <w:r w:rsidR="008105AB">
        <w:t xml:space="preserve">”.  </w:t>
      </w:r>
      <w:r w:rsidR="00034C93">
        <w:t>Con lo cual Esperanza transforma un juego fonético en un juego semántico</w:t>
      </w:r>
      <w:r w:rsidR="008105AB">
        <w:t>.</w:t>
      </w:r>
      <w:r w:rsidR="00034C93">
        <w:t xml:space="preserve"> Pero ¿son esas las referencias implicadas en el juego? Obviamente, la discusión es una cuestión de interpretación. </w:t>
      </w:r>
    </w:p>
    <w:p w:rsidR="00034C93" w:rsidRDefault="00034C93" w:rsidP="00595240">
      <w:r>
        <w:t>Ahora bien, para cualquier oído, “</w:t>
      </w:r>
      <w:r w:rsidRPr="00034C93">
        <w:rPr>
          <w:i/>
        </w:rPr>
        <w:t xml:space="preserve">la </w:t>
      </w:r>
      <w:proofErr w:type="spellStart"/>
      <w:r w:rsidRPr="00034C93">
        <w:rPr>
          <w:i/>
        </w:rPr>
        <w:t>gâche</w:t>
      </w:r>
      <w:proofErr w:type="spellEnd"/>
      <w:r>
        <w:t>” ya es en sí un juego de palabras (antes mismo de cualquier asociación con “</w:t>
      </w:r>
      <w:proofErr w:type="spellStart"/>
      <w:r w:rsidRPr="00034C93">
        <w:rPr>
          <w:i/>
        </w:rPr>
        <w:t>gâchés</w:t>
      </w:r>
      <w:proofErr w:type="spellEnd"/>
      <w:r w:rsidRPr="00034C93">
        <w:rPr>
          <w:i/>
        </w:rPr>
        <w:t xml:space="preserve"> </w:t>
      </w:r>
      <w:proofErr w:type="spellStart"/>
      <w:r w:rsidRPr="00034C93">
        <w:rPr>
          <w:i/>
        </w:rPr>
        <w:t>là</w:t>
      </w:r>
      <w:proofErr w:type="spellEnd"/>
      <w:r>
        <w:t xml:space="preserve">”), puesto que es </w:t>
      </w:r>
      <w:proofErr w:type="spellStart"/>
      <w:r>
        <w:t>homofónico</w:t>
      </w:r>
      <w:proofErr w:type="spellEnd"/>
      <w:r>
        <w:t xml:space="preserve"> </w:t>
      </w:r>
      <w:r w:rsidR="00C15639">
        <w:t>de</w:t>
      </w:r>
      <w:r>
        <w:t xml:space="preserve"> Lagache</w:t>
      </w:r>
      <w:r w:rsidR="00C15639">
        <w:t>, uno de los fundadores, con Lacan, en 1953, de la Sociedad Francesa de Psicoanálisis (en ruptura con la Sociedad Psicoanalítica de París, miembro de la IPA), pero que luego negoció con la IPA la llamada “excomunión” de Lacan, y con quien se plantearon rápidamente (en 1958, en el congreso de Royaumont) diferencias en torno a la noción de estruct</w:t>
      </w:r>
      <w:r w:rsidR="002E380B">
        <w:t xml:space="preserve">ura: </w:t>
      </w:r>
      <w:r w:rsidR="002E380B" w:rsidRPr="002E380B">
        <w:t>"</w:t>
      </w:r>
      <w:r w:rsidR="002E380B" w:rsidRPr="002E380B">
        <w:rPr>
          <w:i/>
          <w:iCs/>
        </w:rPr>
        <w:t xml:space="preserve">la estructura de que </w:t>
      </w:r>
      <w:r w:rsidR="002E380B" w:rsidRPr="002E380B">
        <w:rPr>
          <w:i/>
          <w:iCs/>
        </w:rPr>
        <w:lastRenderedPageBreak/>
        <w:t>hablamos no tiene nada que ver con la idea de la 'estructura del organismo</w:t>
      </w:r>
      <w:r w:rsidR="002E380B">
        <w:t>' "</w:t>
      </w:r>
      <w:r w:rsidR="002E380B">
        <w:rPr>
          <w:rStyle w:val="Refdenotaalpie"/>
        </w:rPr>
        <w:footnoteReference w:id="31"/>
      </w:r>
      <w:r w:rsidR="002E380B" w:rsidRPr="002E380B">
        <w:t xml:space="preserve"> sostenida por Lagache</w:t>
      </w:r>
      <w:r w:rsidR="002E380B">
        <w:t>. Y justamente, en el párrafo anterior de este juego de palabras, Lacan refiere a la metáfora y metonimia, para luego, en el párrafo siguiente criticar la “hipótesis psicológica”</w:t>
      </w:r>
      <w:r w:rsidR="002E380B">
        <w:rPr>
          <w:rStyle w:val="Refdenotaalpie"/>
        </w:rPr>
        <w:footnoteReference w:id="32"/>
      </w:r>
      <w:r w:rsidR="002E380B">
        <w:t>.</w:t>
      </w:r>
    </w:p>
    <w:p w:rsidR="002E380B" w:rsidRDefault="002E380B" w:rsidP="00595240">
      <w:r>
        <w:t xml:space="preserve">Por lo tanto, podríamos decir que el juego de palabras que propone Lacan funciona fonéticamente, que la asociación </w:t>
      </w:r>
      <w:r w:rsidR="00074085">
        <w:t xml:space="preserve">más inmediata </w:t>
      </w:r>
      <w:r>
        <w:t xml:space="preserve">con </w:t>
      </w:r>
      <w:r w:rsidRPr="002E380B">
        <w:t>“</w:t>
      </w:r>
      <w:r w:rsidRPr="002E380B">
        <w:rPr>
          <w:i/>
        </w:rPr>
        <w:t xml:space="preserve">la </w:t>
      </w:r>
      <w:proofErr w:type="spellStart"/>
      <w:r w:rsidRPr="002E380B">
        <w:rPr>
          <w:i/>
        </w:rPr>
        <w:t>gâche</w:t>
      </w:r>
      <w:proofErr w:type="spellEnd"/>
      <w:r w:rsidRPr="002E380B">
        <w:t>”</w:t>
      </w:r>
      <w:r>
        <w:t xml:space="preserve"> es Daniel Lagache, y que los sentidos que más convienen al verbo </w:t>
      </w:r>
      <w:r w:rsidRPr="002E380B">
        <w:t>“</w:t>
      </w:r>
      <w:proofErr w:type="spellStart"/>
      <w:r w:rsidRPr="002E380B">
        <w:t>gâcher</w:t>
      </w:r>
      <w:proofErr w:type="spellEnd"/>
      <w:r w:rsidRPr="002E380B">
        <w:t>”</w:t>
      </w:r>
      <w:r>
        <w:t>, antes que diluir o desleír, serían los siguientes: “</w:t>
      </w:r>
      <w:proofErr w:type="spellStart"/>
      <w:r w:rsidRPr="00074085">
        <w:rPr>
          <w:i/>
        </w:rPr>
        <w:t>Accomplir</w:t>
      </w:r>
      <w:proofErr w:type="spellEnd"/>
      <w:r w:rsidRPr="00074085">
        <w:rPr>
          <w:i/>
        </w:rPr>
        <w:t xml:space="preserve"> </w:t>
      </w:r>
      <w:proofErr w:type="spellStart"/>
      <w:r w:rsidRPr="00074085">
        <w:rPr>
          <w:i/>
        </w:rPr>
        <w:t>négligemment</w:t>
      </w:r>
      <w:proofErr w:type="spellEnd"/>
      <w:r w:rsidRPr="00074085">
        <w:rPr>
          <w:i/>
        </w:rPr>
        <w:t xml:space="preserve"> et </w:t>
      </w:r>
      <w:proofErr w:type="spellStart"/>
      <w:r w:rsidRPr="00074085">
        <w:rPr>
          <w:i/>
        </w:rPr>
        <w:t>grossièrement</w:t>
      </w:r>
      <w:proofErr w:type="spellEnd"/>
      <w:r w:rsidRPr="00074085">
        <w:rPr>
          <w:i/>
        </w:rPr>
        <w:t xml:space="preserve"> une </w:t>
      </w:r>
      <w:proofErr w:type="spellStart"/>
      <w:r w:rsidRPr="00074085">
        <w:rPr>
          <w:i/>
        </w:rPr>
        <w:t>tâche</w:t>
      </w:r>
      <w:proofErr w:type="spellEnd"/>
      <w:r>
        <w:t>” (“</w:t>
      </w:r>
      <w:r w:rsidRPr="00074085">
        <w:rPr>
          <w:i/>
        </w:rPr>
        <w:t>realizar negligentemente o groseramente una tarea</w:t>
      </w:r>
      <w:r>
        <w:t>”), “</w:t>
      </w:r>
      <w:proofErr w:type="spellStart"/>
      <w:r w:rsidRPr="00074085">
        <w:rPr>
          <w:i/>
        </w:rPr>
        <w:t>Perdre</w:t>
      </w:r>
      <w:proofErr w:type="spellEnd"/>
      <w:r w:rsidRPr="00074085">
        <w:rPr>
          <w:i/>
        </w:rPr>
        <w:t xml:space="preserve"> </w:t>
      </w:r>
      <w:proofErr w:type="spellStart"/>
      <w:r w:rsidRPr="00074085">
        <w:rPr>
          <w:i/>
        </w:rPr>
        <w:t>ou</w:t>
      </w:r>
      <w:proofErr w:type="spellEnd"/>
      <w:r w:rsidRPr="00074085">
        <w:rPr>
          <w:i/>
        </w:rPr>
        <w:t xml:space="preserve"> </w:t>
      </w:r>
      <w:proofErr w:type="spellStart"/>
      <w:r w:rsidRPr="00074085">
        <w:rPr>
          <w:i/>
        </w:rPr>
        <w:t>compromettre</w:t>
      </w:r>
      <w:proofErr w:type="spellEnd"/>
      <w:r w:rsidRPr="00074085">
        <w:rPr>
          <w:i/>
        </w:rPr>
        <w:t xml:space="preserve"> </w:t>
      </w:r>
      <w:proofErr w:type="spellStart"/>
      <w:r w:rsidRPr="00074085">
        <w:rPr>
          <w:i/>
        </w:rPr>
        <w:t>quelque</w:t>
      </w:r>
      <w:proofErr w:type="spellEnd"/>
      <w:r w:rsidRPr="00074085">
        <w:rPr>
          <w:i/>
        </w:rPr>
        <w:t xml:space="preserve"> </w:t>
      </w:r>
      <w:proofErr w:type="spellStart"/>
      <w:r w:rsidRPr="00074085">
        <w:rPr>
          <w:i/>
        </w:rPr>
        <w:t>chose</w:t>
      </w:r>
      <w:proofErr w:type="spellEnd"/>
      <w:r w:rsidRPr="00074085">
        <w:rPr>
          <w:i/>
        </w:rPr>
        <w:t xml:space="preserve"> par un </w:t>
      </w:r>
      <w:proofErr w:type="spellStart"/>
      <w:r w:rsidRPr="00074085">
        <w:rPr>
          <w:i/>
        </w:rPr>
        <w:t>mauvais</w:t>
      </w:r>
      <w:proofErr w:type="spellEnd"/>
      <w:r w:rsidRPr="00074085">
        <w:rPr>
          <w:i/>
        </w:rPr>
        <w:t xml:space="preserve"> </w:t>
      </w:r>
      <w:proofErr w:type="spellStart"/>
      <w:r w:rsidRPr="00074085">
        <w:rPr>
          <w:i/>
        </w:rPr>
        <w:t>usage</w:t>
      </w:r>
      <w:proofErr w:type="spellEnd"/>
      <w:r>
        <w:t>” (“</w:t>
      </w:r>
      <w:r w:rsidRPr="00074085">
        <w:rPr>
          <w:i/>
        </w:rPr>
        <w:t>perder o comprometer algo por un mal uso</w:t>
      </w:r>
      <w:r>
        <w:t>”), es decir, más bien el sentido de “estropear”.</w:t>
      </w:r>
    </w:p>
    <w:p w:rsidR="002E380B" w:rsidRDefault="002E380B" w:rsidP="00595240">
      <w:r>
        <w:t xml:space="preserve">No encuentro un sinónimo de “estropear” o una traducción de </w:t>
      </w:r>
      <w:r w:rsidRPr="002E380B">
        <w:t>“</w:t>
      </w:r>
      <w:proofErr w:type="spellStart"/>
      <w:r w:rsidRPr="002E380B">
        <w:t>gâcher</w:t>
      </w:r>
      <w:proofErr w:type="spellEnd"/>
      <w:r w:rsidRPr="002E380B">
        <w:t>”</w:t>
      </w:r>
      <w:r>
        <w:t xml:space="preserve"> que </w:t>
      </w:r>
      <w:r w:rsidR="00455129">
        <w:t xml:space="preserve">permita mantener el juego de palabras al nivel fonético que exige la fijeza  de la asociación con el nombre propio Lagache. Pero no estoy seguro que la </w:t>
      </w:r>
      <w:r w:rsidR="00074085">
        <w:t>“</w:t>
      </w:r>
      <w:r w:rsidR="00455129">
        <w:t>espátula</w:t>
      </w:r>
      <w:r w:rsidR="00074085">
        <w:t>”</w:t>
      </w:r>
      <w:r w:rsidR="00455129">
        <w:t xml:space="preserve"> de Esperanza nos permita modelar una torta mejor que estas eventuales aclaraciones (que ella tampoco pudo obviar ya que tuvo que explicar la razón de su intento de juego semántico).</w:t>
      </w:r>
    </w:p>
    <w:p w:rsidR="00713049" w:rsidRDefault="00713049" w:rsidP="00595240"/>
    <w:p w:rsidR="00713049" w:rsidRDefault="00713049" w:rsidP="00595240"/>
    <w:p w:rsidR="00713049" w:rsidRPr="00AB41EE" w:rsidRDefault="00713049" w:rsidP="00AB41EE">
      <w:pPr>
        <w:jc w:val="center"/>
        <w:rPr>
          <w:b/>
          <w:sz w:val="24"/>
        </w:rPr>
      </w:pPr>
      <w:r w:rsidRPr="00AB41EE">
        <w:rPr>
          <w:b/>
          <w:sz w:val="24"/>
        </w:rPr>
        <w:t>Discurso en la Escuela Freudiana de París</w:t>
      </w:r>
    </w:p>
    <w:p w:rsidR="00713049" w:rsidRDefault="00713049" w:rsidP="00595240"/>
    <w:p w:rsidR="00713049" w:rsidRDefault="00713049" w:rsidP="00AB41EE">
      <w:pPr>
        <w:pStyle w:val="Prrafodelista"/>
        <w:numPr>
          <w:ilvl w:val="0"/>
          <w:numId w:val="2"/>
        </w:numPr>
      </w:pPr>
      <w:proofErr w:type="spellStart"/>
      <w:r>
        <w:t>Pägina</w:t>
      </w:r>
      <w:proofErr w:type="spellEnd"/>
      <w:r>
        <w:t xml:space="preserve"> 288: “pongo allí un no analista en perspectiva, aquel que se puede captar </w:t>
      </w:r>
      <w:r w:rsidR="00AB41EE">
        <w:t>…</w:t>
      </w:r>
      <w:r>
        <w:t>”</w:t>
      </w:r>
    </w:p>
    <w:p w:rsidR="00713049" w:rsidRPr="00AB41EE" w:rsidRDefault="00713049" w:rsidP="00AB41EE">
      <w:pPr>
        <w:ind w:left="708"/>
      </w:pPr>
      <w:r w:rsidRPr="00AB41EE">
        <w:rPr>
          <w:lang w:val="fr-FR"/>
        </w:rPr>
        <w:t xml:space="preserve">En </w:t>
      </w:r>
      <w:proofErr w:type="spellStart"/>
      <w:r w:rsidRPr="00AB41EE">
        <w:rPr>
          <w:lang w:val="fr-FR"/>
        </w:rPr>
        <w:t>francés</w:t>
      </w:r>
      <w:proofErr w:type="spellEnd"/>
      <w:r w:rsidRPr="00AB41EE">
        <w:rPr>
          <w:lang w:val="fr-FR"/>
        </w:rPr>
        <w:t xml:space="preserve"> </w:t>
      </w:r>
      <w:proofErr w:type="spellStart"/>
      <w:r w:rsidRPr="00AB41EE">
        <w:rPr>
          <w:lang w:val="fr-FR"/>
        </w:rPr>
        <w:t>dice</w:t>
      </w:r>
      <w:proofErr w:type="spellEnd"/>
      <w:proofErr w:type="gramStart"/>
      <w:r w:rsidRPr="00AB41EE">
        <w:rPr>
          <w:lang w:val="fr-FR"/>
        </w:rPr>
        <w:t xml:space="preserve">: </w:t>
      </w:r>
      <w:r w:rsidR="00AB41EE">
        <w:rPr>
          <w:lang w:val="fr-FR"/>
        </w:rPr>
        <w:t xml:space="preserve"> «</w:t>
      </w:r>
      <w:proofErr w:type="gramEnd"/>
      <w:r w:rsidR="00AB41EE">
        <w:rPr>
          <w:lang w:val="fr-FR"/>
        </w:rPr>
        <w:t> </w:t>
      </w:r>
      <w:r w:rsidR="00AB41EE" w:rsidRPr="00AB41EE">
        <w:rPr>
          <w:lang w:val="fr-FR"/>
        </w:rPr>
        <w:t xml:space="preserve">j’y mets un non-analyste en </w:t>
      </w:r>
      <w:r w:rsidR="00AB41EE">
        <w:rPr>
          <w:lang w:val="fr-FR"/>
        </w:rPr>
        <w:t xml:space="preserve">espérance, celui qu’on peut saisir  … » </w:t>
      </w:r>
      <w:r w:rsidR="00AB41EE" w:rsidRPr="00AB41EE">
        <w:t>(página 270 de « </w:t>
      </w:r>
      <w:proofErr w:type="spellStart"/>
      <w:r w:rsidR="00AB41EE" w:rsidRPr="00AB41EE">
        <w:t>Autres</w:t>
      </w:r>
      <w:proofErr w:type="spellEnd"/>
      <w:r w:rsidR="00AB41EE" w:rsidRPr="00AB41EE">
        <w:t xml:space="preserve"> </w:t>
      </w:r>
      <w:proofErr w:type="spellStart"/>
      <w:r w:rsidR="00AB41EE" w:rsidRPr="00AB41EE">
        <w:t>écrits</w:t>
      </w:r>
      <w:proofErr w:type="spellEnd"/>
      <w:r w:rsidR="00AB41EE" w:rsidRPr="00AB41EE">
        <w:t> »)</w:t>
      </w:r>
    </w:p>
    <w:p w:rsidR="00713049" w:rsidRDefault="00713049" w:rsidP="00595240">
      <w:r>
        <w:t xml:space="preserve">Encontré en la página 59 </w:t>
      </w:r>
      <w:r w:rsidR="00AB41EE" w:rsidRPr="00AB41EE">
        <w:t xml:space="preserve">(en la nota a pie de página número 60) </w:t>
      </w:r>
      <w:r>
        <w:t xml:space="preserve">del libro de José </w:t>
      </w:r>
      <w:proofErr w:type="spellStart"/>
      <w:r>
        <w:t>Attal</w:t>
      </w:r>
      <w:proofErr w:type="spellEnd"/>
      <w:r>
        <w:t xml:space="preserve"> “</w:t>
      </w:r>
      <w:r w:rsidRPr="00AB41EE">
        <w:rPr>
          <w:i/>
        </w:rPr>
        <w:t>El pase, ¿a título de qué?</w:t>
      </w:r>
      <w:r>
        <w:t>”</w:t>
      </w:r>
      <w:r w:rsidR="00AB41EE">
        <w:t xml:space="preserve"> (</w:t>
      </w:r>
      <w:proofErr w:type="gramStart"/>
      <w:r w:rsidR="00AB41EE">
        <w:t>traducción</w:t>
      </w:r>
      <w:proofErr w:type="gramEnd"/>
      <w:r w:rsidR="00AB41EE">
        <w:t xml:space="preserve"> de Susana </w:t>
      </w:r>
      <w:proofErr w:type="spellStart"/>
      <w:r w:rsidR="00AB41EE">
        <w:t>Bercovich</w:t>
      </w:r>
      <w:proofErr w:type="spellEnd"/>
      <w:r w:rsidR="00AB41EE">
        <w:t xml:space="preserve">) </w:t>
      </w:r>
      <w:r>
        <w:t xml:space="preserve">el señalamiento </w:t>
      </w:r>
      <w:r w:rsidR="00AB41EE">
        <w:t xml:space="preserve">crítico </w:t>
      </w:r>
      <w:r>
        <w:t>de la traducción en “</w:t>
      </w:r>
      <w:r w:rsidRPr="00AB41EE">
        <w:rPr>
          <w:i/>
        </w:rPr>
        <w:t>Otros escritos</w:t>
      </w:r>
      <w:r>
        <w:t>” de “</w:t>
      </w:r>
      <w:proofErr w:type="spellStart"/>
      <w:r w:rsidRPr="00AB41EE">
        <w:rPr>
          <w:i/>
        </w:rPr>
        <w:t>esp</w:t>
      </w:r>
      <w:r w:rsidR="00AB41EE" w:rsidRPr="00AB41EE">
        <w:rPr>
          <w:i/>
        </w:rPr>
        <w:t>é</w:t>
      </w:r>
      <w:r w:rsidRPr="00AB41EE">
        <w:rPr>
          <w:i/>
        </w:rPr>
        <w:t>rance</w:t>
      </w:r>
      <w:proofErr w:type="spellEnd"/>
      <w:r>
        <w:t>” por “</w:t>
      </w:r>
      <w:r w:rsidRPr="00AB41EE">
        <w:rPr>
          <w:i/>
        </w:rPr>
        <w:t>en perspectiva</w:t>
      </w:r>
      <w:r>
        <w:t>”. Cuál es el sentido de apelar a esta “</w:t>
      </w:r>
      <w:r w:rsidRPr="00AB41EE">
        <w:rPr>
          <w:i/>
        </w:rPr>
        <w:t>perspectiva</w:t>
      </w:r>
      <w:r>
        <w:t>” en lugar de la traducción más apropiada por “</w:t>
      </w:r>
      <w:r w:rsidRPr="00AB41EE">
        <w:rPr>
          <w:i/>
        </w:rPr>
        <w:t>esperanza</w:t>
      </w:r>
      <w:r>
        <w:t>”</w:t>
      </w:r>
      <w:proofErr w:type="gramStart"/>
      <w:r>
        <w:t>?</w:t>
      </w:r>
      <w:proofErr w:type="gramEnd"/>
      <w:r>
        <w:t xml:space="preserve"> (casualidades: la misma palabra que el apellido de la traductora, Graciela Esperanza).</w:t>
      </w:r>
    </w:p>
    <w:p w:rsidR="00713049" w:rsidRDefault="00713049" w:rsidP="00595240"/>
    <w:p w:rsidR="00713049" w:rsidRDefault="00713049" w:rsidP="00595240"/>
    <w:p w:rsidR="00455129" w:rsidRPr="001711ED" w:rsidRDefault="00455129" w:rsidP="00595240"/>
    <w:p w:rsidR="001711ED" w:rsidRDefault="001711ED" w:rsidP="001711ED">
      <w:pPr>
        <w:ind w:left="708"/>
      </w:pPr>
    </w:p>
    <w:p w:rsidR="001711ED" w:rsidRPr="00D72514" w:rsidRDefault="001711ED" w:rsidP="001711ED">
      <w:pPr>
        <w:ind w:left="708"/>
      </w:pPr>
    </w:p>
    <w:p w:rsidR="00932CCE" w:rsidRPr="00D72514" w:rsidRDefault="00932CCE" w:rsidP="008C1E32">
      <w:pPr>
        <w:ind w:left="708"/>
      </w:pPr>
    </w:p>
    <w:sectPr w:rsidR="00932CCE" w:rsidRPr="00D72514" w:rsidSect="00A62CC0">
      <w:footerReference w:type="default" r:id="rId10"/>
      <w:pgSz w:w="11907" w:h="16840" w:code="9"/>
      <w:pgMar w:top="1417" w:right="1701" w:bottom="1417"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15" w:rsidRDefault="00175F15" w:rsidP="00060509">
      <w:pPr>
        <w:spacing w:after="0" w:line="240" w:lineRule="auto"/>
      </w:pPr>
      <w:r>
        <w:separator/>
      </w:r>
    </w:p>
  </w:endnote>
  <w:endnote w:type="continuationSeparator" w:id="0">
    <w:p w:rsidR="00175F15" w:rsidRDefault="00175F15" w:rsidP="0006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2C" w:rsidRDefault="00FC0F2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Otras erratas</w:t>
    </w:r>
    <w:r>
      <w:rPr>
        <w:rFonts w:asciiTheme="majorHAnsi" w:eastAsiaTheme="majorEastAsia" w:hAnsiTheme="majorHAnsi" w:cstheme="majorBidi"/>
      </w:rPr>
      <w:tab/>
      <w:t>Michel Sauval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D97447" w:rsidRPr="00D97447">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rsidR="00FC0F2C" w:rsidRDefault="00FC0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15" w:rsidRDefault="00175F15" w:rsidP="00060509">
      <w:pPr>
        <w:spacing w:after="0" w:line="240" w:lineRule="auto"/>
      </w:pPr>
      <w:r>
        <w:separator/>
      </w:r>
    </w:p>
  </w:footnote>
  <w:footnote w:type="continuationSeparator" w:id="0">
    <w:p w:rsidR="00175F15" w:rsidRDefault="00175F15" w:rsidP="00060509">
      <w:pPr>
        <w:spacing w:after="0" w:line="240" w:lineRule="auto"/>
      </w:pPr>
      <w:r>
        <w:continuationSeparator/>
      </w:r>
    </w:p>
  </w:footnote>
  <w:footnote w:id="1">
    <w:p w:rsidR="00FC0F2C" w:rsidRDefault="00FC0F2C" w:rsidP="000B6DCD">
      <w:pPr>
        <w:pStyle w:val="Textonotapie"/>
      </w:pPr>
      <w:r>
        <w:rPr>
          <w:rStyle w:val="Refdenotaalpie"/>
        </w:rPr>
        <w:footnoteRef/>
      </w:r>
      <w:r>
        <w:t xml:space="preserve">  Ver presentaciones de las ediciones de </w:t>
      </w:r>
      <w:hyperlink r:id="rId1" w:history="1">
        <w:r w:rsidRPr="00060509">
          <w:rPr>
            <w:rStyle w:val="Hipervnculo"/>
          </w:rPr>
          <w:t>Epeele</w:t>
        </w:r>
      </w:hyperlink>
      <w:r>
        <w:t xml:space="preserve"> y de </w:t>
      </w:r>
      <w:hyperlink r:id="rId2" w:history="1">
        <w:r w:rsidRPr="00060509">
          <w:rPr>
            <w:rStyle w:val="Hipervnculo"/>
          </w:rPr>
          <w:t>Oficio Analítico</w:t>
        </w:r>
      </w:hyperlink>
    </w:p>
  </w:footnote>
  <w:footnote w:id="2">
    <w:p w:rsidR="00FC0F2C" w:rsidRDefault="00FC0F2C">
      <w:pPr>
        <w:pStyle w:val="Textonotapie"/>
      </w:pPr>
      <w:r>
        <w:rPr>
          <w:rStyle w:val="Refdenotaalpie"/>
        </w:rPr>
        <w:footnoteRef/>
      </w:r>
      <w:r>
        <w:t xml:space="preserve">  En dicha reedición se indica que  la revisión del texto corrió por cuenta del “equipo editorial de Siglo XXI y Gabriela </w:t>
      </w:r>
      <w:proofErr w:type="spellStart"/>
      <w:r>
        <w:t>Ubaldini</w:t>
      </w:r>
      <w:proofErr w:type="spellEnd"/>
      <w:r>
        <w:t>, siguiendo la edición francesa del texto integral”, sin explicitar ninguna de las revisiones o correcciones que se hicieron respecto de las ediciones anteriores.</w:t>
      </w:r>
    </w:p>
  </w:footnote>
  <w:footnote w:id="3">
    <w:p w:rsidR="00FC0F2C" w:rsidRDefault="00FC0F2C">
      <w:pPr>
        <w:pStyle w:val="Textonotapie"/>
      </w:pPr>
      <w:r>
        <w:rPr>
          <w:rStyle w:val="Refdenotaalpie"/>
        </w:rPr>
        <w:footnoteRef/>
      </w:r>
      <w:r>
        <w:t xml:space="preserve">  La propia Gabriela Esperanza refiere  que “</w:t>
      </w:r>
      <w:r w:rsidRPr="008877C3">
        <w:t xml:space="preserve">tampoco estuve, ni estoy sola en esta empresa, mi amigo y colega Guy </w:t>
      </w:r>
      <w:proofErr w:type="spellStart"/>
      <w:r w:rsidRPr="008877C3">
        <w:t>Trobas</w:t>
      </w:r>
      <w:proofErr w:type="spellEnd"/>
      <w:r w:rsidRPr="008877C3">
        <w:t xml:space="preserve"> aceptó, por pedido de Jacques- Alain Miller, trabajar conmigo a la par en esta </w:t>
      </w:r>
      <w:proofErr w:type="spellStart"/>
      <w:r w:rsidRPr="008877C3">
        <w:rPr>
          <w:i/>
          <w:iCs/>
        </w:rPr>
        <w:t>tâche</w:t>
      </w:r>
      <w:proofErr w:type="spellEnd"/>
      <w:r w:rsidRPr="008877C3">
        <w:t>, que desbordó y sobrepasó ampliamente el simple mote de “corrección”.</w:t>
      </w:r>
      <w:r>
        <w:t xml:space="preserve"> Ver “</w:t>
      </w:r>
      <w:proofErr w:type="spellStart"/>
      <w:r>
        <w:fldChar w:fldCharType="begin"/>
      </w:r>
      <w:r>
        <w:instrText xml:space="preserve"> HYPERLINK "http://virtualia.eol.org.ar/025/template.asp?Los-Otros-escritos-en-castellano/Intraducir-a-Lacan.html" </w:instrText>
      </w:r>
      <w:r>
        <w:fldChar w:fldCharType="separate"/>
      </w:r>
      <w:r w:rsidRPr="008877C3">
        <w:rPr>
          <w:rStyle w:val="Hipervnculo"/>
        </w:rPr>
        <w:t>Intr</w:t>
      </w:r>
      <w:r w:rsidRPr="008877C3">
        <w:rPr>
          <w:rStyle w:val="Hipervnculo"/>
          <w:i/>
        </w:rPr>
        <w:t>a</w:t>
      </w:r>
      <w:r w:rsidRPr="008877C3">
        <w:rPr>
          <w:rStyle w:val="Hipervnculo"/>
        </w:rPr>
        <w:t>ducir</w:t>
      </w:r>
      <w:proofErr w:type="spellEnd"/>
      <w:r w:rsidRPr="008877C3">
        <w:rPr>
          <w:rStyle w:val="Hipervnculo"/>
        </w:rPr>
        <w:t xml:space="preserve"> a Lacan</w:t>
      </w:r>
      <w:r>
        <w:fldChar w:fldCharType="end"/>
      </w:r>
      <w:r>
        <w:t xml:space="preserve">”, revista </w:t>
      </w:r>
      <w:proofErr w:type="spellStart"/>
      <w:r>
        <w:t>Virtualia</w:t>
      </w:r>
      <w:proofErr w:type="spellEnd"/>
      <w:r>
        <w:t xml:space="preserve"> n° 25, noviembre 2012</w:t>
      </w:r>
    </w:p>
  </w:footnote>
  <w:footnote w:id="4">
    <w:p w:rsidR="00FC0F2C" w:rsidRDefault="00FC0F2C">
      <w:pPr>
        <w:pStyle w:val="Textonotapie"/>
      </w:pPr>
      <w:r>
        <w:rPr>
          <w:rStyle w:val="Refdenotaalpie"/>
        </w:rPr>
        <w:footnoteRef/>
      </w:r>
      <w:r>
        <w:t xml:space="preserve">  La primera traducción al castellano, publicada por la editorial Siglo XXI, en 1971, estuvo a cargo de Tomás Segovia, con la supervisión de Juan David Nasio y del propio Lacan. </w:t>
      </w:r>
    </w:p>
    <w:p w:rsidR="00FC0F2C" w:rsidRDefault="00FC0F2C">
      <w:pPr>
        <w:pStyle w:val="Textonotapie"/>
      </w:pPr>
      <w:r>
        <w:t>Recomiendo la lectura del segundo capítulo (</w:t>
      </w:r>
      <w:r w:rsidRPr="008877C3">
        <w:t>"Pequeña historia de la edición española de los </w:t>
      </w:r>
      <w:r w:rsidRPr="008877C3">
        <w:rPr>
          <w:i/>
          <w:iCs/>
        </w:rPr>
        <w:t>Escritos </w:t>
      </w:r>
      <w:r w:rsidRPr="008877C3">
        <w:t>de Lacan a través del testimonio de sus protagonistas"</w:t>
      </w:r>
      <w:r>
        <w:t>) del mencionado libro de Pasternac</w:t>
      </w:r>
    </w:p>
  </w:footnote>
  <w:footnote w:id="5">
    <w:p w:rsidR="00FC0F2C" w:rsidRPr="00DA5368" w:rsidRDefault="00FC0F2C">
      <w:pPr>
        <w:pStyle w:val="Textonotapie"/>
        <w:rPr>
          <w:lang w:val="fr-FR"/>
        </w:rPr>
      </w:pPr>
      <w:r>
        <w:rPr>
          <w:rStyle w:val="Refdenotaalpie"/>
        </w:rPr>
        <w:footnoteRef/>
      </w:r>
      <w:r w:rsidRPr="00DA5368">
        <w:rPr>
          <w:lang w:val="fr-FR"/>
        </w:rPr>
        <w:t xml:space="preserve">  Jacques Lacan, “Proposition du 9 octobre 1967 sur le psychanalyste de l’Ecole”, en “Autres Ecrits”, Seuil, p</w:t>
      </w:r>
      <w:r>
        <w:rPr>
          <w:lang w:val="fr-FR"/>
        </w:rPr>
        <w:t>ágina 243</w:t>
      </w:r>
    </w:p>
  </w:footnote>
  <w:footnote w:id="6">
    <w:p w:rsidR="00FC0F2C" w:rsidRDefault="00FC0F2C">
      <w:pPr>
        <w:pStyle w:val="Textonotapie"/>
      </w:pPr>
      <w:r>
        <w:rPr>
          <w:rStyle w:val="Refdenotaalpie"/>
        </w:rPr>
        <w:footnoteRef/>
      </w:r>
      <w:r>
        <w:t xml:space="preserve">  Jacques Lacan figura como autor, vía la autorización de su “heredero” Jacques-Alain Miller</w:t>
      </w:r>
    </w:p>
  </w:footnote>
  <w:footnote w:id="7">
    <w:p w:rsidR="00FC0F2C" w:rsidRPr="004E5D76" w:rsidRDefault="00FC0F2C">
      <w:pPr>
        <w:pStyle w:val="Textonotapie"/>
      </w:pPr>
      <w:r>
        <w:rPr>
          <w:rStyle w:val="Refdenotaalpie"/>
        </w:rPr>
        <w:footnoteRef/>
      </w:r>
      <w:r w:rsidRPr="004E5D76">
        <w:t xml:space="preserve">  Acheronta, revista de psicoanálisis y cultura – </w:t>
      </w:r>
      <w:hyperlink r:id="rId3" w:history="1">
        <w:r w:rsidRPr="004E5D76">
          <w:rPr>
            <w:rStyle w:val="Hipervnculo"/>
          </w:rPr>
          <w:t>www.acheronta.org</w:t>
        </w:r>
      </w:hyperlink>
      <w:r w:rsidRPr="004E5D76">
        <w:t xml:space="preserve"> </w:t>
      </w:r>
    </w:p>
  </w:footnote>
  <w:footnote w:id="8">
    <w:p w:rsidR="00FC0F2C" w:rsidRDefault="00FC0F2C">
      <w:pPr>
        <w:pStyle w:val="Textonotapie"/>
      </w:pPr>
      <w:r>
        <w:rPr>
          <w:rStyle w:val="Refdenotaalpie"/>
        </w:rPr>
        <w:footnoteRef/>
      </w:r>
      <w:r>
        <w:t xml:space="preserve">  Jacques Lacan, </w:t>
      </w:r>
      <w:r w:rsidRPr="00B234E8">
        <w:t>"</w:t>
      </w:r>
      <w:hyperlink r:id="rId4" w:tgtFrame="display" w:history="1">
        <w:r w:rsidRPr="00B234E8">
          <w:rPr>
            <w:rStyle w:val="Hipervnculo"/>
            <w:i/>
            <w:iCs/>
          </w:rPr>
          <w:t>Otros escritos</w:t>
        </w:r>
      </w:hyperlink>
      <w:r w:rsidRPr="00B234E8">
        <w:t>", editorial Paidós</w:t>
      </w:r>
    </w:p>
  </w:footnote>
  <w:footnote w:id="9">
    <w:p w:rsidR="00FC0F2C" w:rsidRDefault="00FC0F2C">
      <w:pPr>
        <w:pStyle w:val="Textonotapie"/>
      </w:pPr>
      <w:r>
        <w:rPr>
          <w:rStyle w:val="Refdenotaalpie"/>
        </w:rPr>
        <w:footnoteRef/>
      </w:r>
      <w:r>
        <w:t xml:space="preserve">  La primer traducción al castellano estuvo a cargo de Irene </w:t>
      </w:r>
      <w:proofErr w:type="spellStart"/>
      <w:r>
        <w:t>Agoff</w:t>
      </w:r>
      <w:proofErr w:type="spellEnd"/>
      <w:r>
        <w:t xml:space="preserve"> y fue publicada en el primer número de la versión castellana de “Ornicar?”, en la Editorial Petrel, Barcelona, </w:t>
      </w:r>
    </w:p>
  </w:footnote>
  <w:footnote w:id="10">
    <w:p w:rsidR="00FC0F2C" w:rsidRDefault="00FC0F2C">
      <w:pPr>
        <w:pStyle w:val="Textonotapie"/>
      </w:pPr>
      <w:r>
        <w:rPr>
          <w:rStyle w:val="Refdenotaalpie"/>
        </w:rPr>
        <w:footnoteRef/>
      </w:r>
      <w:r>
        <w:t xml:space="preserve">  Las veces que retoma el principio, como, por ejemplo, en “</w:t>
      </w:r>
      <w:r w:rsidRPr="00B234E8">
        <w:rPr>
          <w:i/>
        </w:rPr>
        <w:t>Televisión</w:t>
      </w:r>
      <w:r>
        <w:t>” (página 557 de “Otros escritos”), siempre se mantiene fiel a la formulación dada en la “</w:t>
      </w:r>
      <w:r w:rsidRPr="00B234E8">
        <w:rPr>
          <w:i/>
        </w:rPr>
        <w:t>Proposición…</w:t>
      </w:r>
      <w:r>
        <w:t>”</w:t>
      </w:r>
    </w:p>
  </w:footnote>
  <w:footnote w:id="11">
    <w:p w:rsidR="00FC0F2C" w:rsidRDefault="00FC0F2C" w:rsidP="0088479F">
      <w:pPr>
        <w:pStyle w:val="Textonotapie"/>
      </w:pPr>
      <w:r>
        <w:rPr>
          <w:rStyle w:val="Refdenotaalpie"/>
        </w:rPr>
        <w:footnoteRef/>
      </w:r>
      <w:r>
        <w:t xml:space="preserve">  Es común la siguiente redacción</w:t>
      </w:r>
      <w:r w:rsidRPr="0088479F">
        <w:t xml:space="preserve"> unificada: "</w:t>
      </w:r>
      <w:r w:rsidRPr="0088479F">
        <w:rPr>
          <w:i/>
          <w:iCs/>
        </w:rPr>
        <w:t>el analista sólo se autoriza de sí mismo </w:t>
      </w:r>
      <w:r w:rsidRPr="0088479F">
        <w:rPr>
          <w:bCs/>
          <w:i/>
          <w:iCs/>
        </w:rPr>
        <w:t>y de algunos otros</w:t>
      </w:r>
      <w:r w:rsidRPr="0088479F">
        <w:t>"</w:t>
      </w:r>
      <w:r>
        <w:t>,</w:t>
      </w:r>
      <w:r w:rsidRPr="0088479F">
        <w:t xml:space="preserve"> </w:t>
      </w:r>
      <w:r>
        <w:t>como si fuera una cita</w:t>
      </w:r>
      <w:r w:rsidR="00074085">
        <w:t xml:space="preserve"> única</w:t>
      </w:r>
      <w:r w:rsidRPr="0088479F">
        <w:t xml:space="preserve">. </w:t>
      </w:r>
      <w:r>
        <w:t xml:space="preserve">Ver recopilación de ejemplos en </w:t>
      </w:r>
      <w:hyperlink r:id="rId5" w:history="1">
        <w:r w:rsidRPr="00653422">
          <w:rPr>
            <w:rStyle w:val="Hipervnculo"/>
          </w:rPr>
          <w:t>www.sauval.com/articulos/autorizaanexo.htm</w:t>
        </w:r>
      </w:hyperlink>
      <w:r>
        <w:t xml:space="preserve"> </w:t>
      </w:r>
    </w:p>
  </w:footnote>
  <w:footnote w:id="12">
    <w:p w:rsidR="00FC0F2C" w:rsidRDefault="00FC0F2C" w:rsidP="00C63EDD">
      <w:pPr>
        <w:pStyle w:val="Textonotapie"/>
      </w:pPr>
      <w:r>
        <w:rPr>
          <w:rStyle w:val="Refdenotaalpie"/>
        </w:rPr>
        <w:footnoteRef/>
      </w:r>
      <w:r>
        <w:t xml:space="preserve">  </w:t>
      </w:r>
      <w:r w:rsidRPr="00D72514">
        <w:t>Jacques Lacan, "</w:t>
      </w:r>
      <w:r w:rsidRPr="00D72514">
        <w:rPr>
          <w:i/>
          <w:iCs/>
        </w:rPr>
        <w:t>Proposición del 9 de octubre de 1967 sobre el psicoanalista de la escuela</w:t>
      </w:r>
      <w:r w:rsidRPr="00D72514">
        <w:t>" (traducción de Diana Rabinovich), en "</w:t>
      </w:r>
      <w:r w:rsidRPr="00D72514">
        <w:rPr>
          <w:i/>
          <w:iCs/>
        </w:rPr>
        <w:t>Momentos cruciales de la experiencia analítica</w:t>
      </w:r>
      <w:r w:rsidRPr="00D72514">
        <w:t>", Editorial Manantial, Buenos Aires 1987, página 7</w:t>
      </w:r>
    </w:p>
  </w:footnote>
  <w:footnote w:id="13">
    <w:p w:rsidR="00FC0F2C" w:rsidRDefault="00FC0F2C">
      <w:pPr>
        <w:pStyle w:val="Textonotapie"/>
      </w:pPr>
      <w:r>
        <w:rPr>
          <w:rStyle w:val="Refdenotaalpie"/>
        </w:rPr>
        <w:footnoteRef/>
      </w:r>
      <w:r>
        <w:t xml:space="preserve">  Ver algunos ejemplos en </w:t>
      </w:r>
      <w:hyperlink r:id="rId6" w:history="1">
        <w:r w:rsidRPr="000C67E8">
          <w:rPr>
            <w:rStyle w:val="Hipervnculo"/>
          </w:rPr>
          <w:t>www.sauval.com/articulos/autorizaanexo.htm</w:t>
        </w:r>
      </w:hyperlink>
    </w:p>
  </w:footnote>
  <w:footnote w:id="14">
    <w:p w:rsidR="00FC0F2C" w:rsidRDefault="00FC0F2C" w:rsidP="00C63EDD">
      <w:pPr>
        <w:pStyle w:val="Textonotapie"/>
      </w:pPr>
      <w:r>
        <w:rPr>
          <w:rStyle w:val="Refdenotaalpie"/>
        </w:rPr>
        <w:footnoteRef/>
      </w:r>
      <w:r>
        <w:t xml:space="preserve">  </w:t>
      </w:r>
      <w:r w:rsidRPr="00D72514">
        <w:t>Jacques Lacan, "</w:t>
      </w:r>
      <w:r w:rsidRPr="00D72514">
        <w:rPr>
          <w:i/>
          <w:iCs/>
        </w:rPr>
        <w:t>Nota italiana</w:t>
      </w:r>
      <w:r w:rsidRPr="00D72514">
        <w:t>" , en "</w:t>
      </w:r>
      <w:hyperlink r:id="rId7" w:tgtFrame="display" w:history="1">
        <w:r w:rsidRPr="00D72514">
          <w:rPr>
            <w:rStyle w:val="Hipervnculo"/>
            <w:i/>
            <w:iCs/>
          </w:rPr>
          <w:t>Otros escritos</w:t>
        </w:r>
      </w:hyperlink>
      <w:r w:rsidRPr="00D72514">
        <w:t>", Editorial Paidós, página 328</w:t>
      </w:r>
    </w:p>
  </w:footnote>
  <w:footnote w:id="15">
    <w:p w:rsidR="00FC0F2C" w:rsidRPr="002A6CA2" w:rsidRDefault="00FC0F2C" w:rsidP="00C63EDD">
      <w:pPr>
        <w:pStyle w:val="Textonotapie"/>
        <w:rPr>
          <w:lang w:val="fr-FR"/>
        </w:rPr>
      </w:pPr>
      <w:r>
        <w:rPr>
          <w:rStyle w:val="Refdenotaalpie"/>
        </w:rPr>
        <w:footnoteRef/>
      </w:r>
      <w:r w:rsidRPr="002A6CA2">
        <w:rPr>
          <w:lang w:val="fr-FR"/>
        </w:rPr>
        <w:t xml:space="preserve">  Jacques Lacan, "</w:t>
      </w:r>
      <w:r w:rsidRPr="002A6CA2">
        <w:rPr>
          <w:i/>
          <w:iCs/>
          <w:lang w:val="fr-FR"/>
        </w:rPr>
        <w:t>Note italienne</w:t>
      </w:r>
      <w:r w:rsidRPr="002A6CA2">
        <w:rPr>
          <w:lang w:val="fr-FR"/>
        </w:rPr>
        <w:t>", en "</w:t>
      </w:r>
      <w:r w:rsidRPr="002A6CA2">
        <w:rPr>
          <w:i/>
          <w:iCs/>
          <w:lang w:val="fr-FR"/>
        </w:rPr>
        <w:t>Autres écrits</w:t>
      </w:r>
      <w:r>
        <w:rPr>
          <w:lang w:val="fr-FR"/>
        </w:rPr>
        <w:t>", Edition Seuil, página 308</w:t>
      </w:r>
    </w:p>
  </w:footnote>
  <w:footnote w:id="16">
    <w:p w:rsidR="00FC0F2C" w:rsidRDefault="00FC0F2C">
      <w:pPr>
        <w:pStyle w:val="Textonotapie"/>
      </w:pPr>
      <w:r>
        <w:rPr>
          <w:rStyle w:val="Refdenotaalpie"/>
        </w:rPr>
        <w:footnoteRef/>
      </w:r>
      <w:r>
        <w:t xml:space="preserve">  Análogamente para la definición del significante: hay dos significantes, uno que representa al sujeto, y otro ante el que el sujeto es representado por el significante anterior. Con lo cual, aunque son dos significantes, no por ello podrían incluirse en la misma clase de los significantes.</w:t>
      </w:r>
    </w:p>
  </w:footnote>
  <w:footnote w:id="17">
    <w:p w:rsidR="00FC0F2C" w:rsidRDefault="00FC0F2C" w:rsidP="00C63EDD">
      <w:pPr>
        <w:pStyle w:val="Textonotapie"/>
      </w:pPr>
      <w:r>
        <w:rPr>
          <w:rStyle w:val="Refdenotaalpie"/>
        </w:rPr>
        <w:footnoteRef/>
      </w:r>
      <w:r>
        <w:t xml:space="preserve">  Ver al respecto </w:t>
      </w:r>
      <w:r w:rsidRPr="007B4F2A">
        <w:t>Guy Le Gaufey, "</w:t>
      </w:r>
      <w:hyperlink r:id="rId8" w:tgtFrame="display" w:history="1">
        <w:r w:rsidRPr="007B4F2A">
          <w:rPr>
            <w:rStyle w:val="Hipervnculo"/>
            <w:i/>
            <w:iCs/>
          </w:rPr>
          <w:t>El no-todo de Lacan</w:t>
        </w:r>
      </w:hyperlink>
      <w:r w:rsidRPr="007B4F2A">
        <w:t>", Editorial Cuenco de Plata</w:t>
      </w:r>
    </w:p>
  </w:footnote>
  <w:footnote w:id="18">
    <w:p w:rsidR="00FC0F2C" w:rsidRDefault="00FC0F2C" w:rsidP="00C63EDD">
      <w:pPr>
        <w:pStyle w:val="Textonotapie"/>
      </w:pPr>
      <w:r>
        <w:rPr>
          <w:rStyle w:val="Refdenotaalpie"/>
        </w:rPr>
        <w:footnoteRef/>
      </w:r>
      <w:r>
        <w:t xml:space="preserve">  Ver al respecto </w:t>
      </w:r>
      <w:r w:rsidRPr="007B4F2A">
        <w:t>Raquel Capurro, "</w:t>
      </w:r>
      <w:r w:rsidRPr="007B4F2A">
        <w:rPr>
          <w:i/>
          <w:iCs/>
        </w:rPr>
        <w:t>Del analista y del analizante</w:t>
      </w:r>
      <w:r w:rsidRPr="007B4F2A">
        <w:t>", publicado en el </w:t>
      </w:r>
      <w:hyperlink r:id="rId9" w:tgtFrame="display" w:history="1">
        <w:r w:rsidRPr="007B4F2A">
          <w:rPr>
            <w:rStyle w:val="Hipervnculo"/>
          </w:rPr>
          <w:t>número 25</w:t>
        </w:r>
      </w:hyperlink>
      <w:r w:rsidRPr="007B4F2A">
        <w:t> de la revista </w:t>
      </w:r>
      <w:hyperlink r:id="rId10" w:tgtFrame="display" w:history="1">
        <w:r w:rsidRPr="007B4F2A">
          <w:rPr>
            <w:rStyle w:val="Hipervnculo"/>
          </w:rPr>
          <w:t>Acheronta</w:t>
        </w:r>
      </w:hyperlink>
    </w:p>
  </w:footnote>
  <w:footnote w:id="19">
    <w:p w:rsidR="00FC0F2C" w:rsidRDefault="00FC0F2C">
      <w:pPr>
        <w:pStyle w:val="Textonotapie"/>
      </w:pPr>
      <w:r>
        <w:rPr>
          <w:rStyle w:val="Refdenotaalpie"/>
        </w:rPr>
        <w:footnoteRef/>
      </w:r>
      <w:r>
        <w:t xml:space="preserve">  Hay otras versiones, como veremos a continuación</w:t>
      </w:r>
    </w:p>
  </w:footnote>
  <w:footnote w:id="20">
    <w:p w:rsidR="00FC0F2C" w:rsidRDefault="00FC0F2C">
      <w:pPr>
        <w:pStyle w:val="Textonotapie"/>
      </w:pPr>
      <w:r>
        <w:rPr>
          <w:rStyle w:val="Refdenotaalpie"/>
        </w:rPr>
        <w:footnoteRef/>
      </w:r>
      <w:r>
        <w:t xml:space="preserve">  E</w:t>
      </w:r>
      <w:r w:rsidRPr="0044652C">
        <w:t xml:space="preserve">stá disponible en internet en el </w:t>
      </w:r>
      <w:hyperlink r:id="rId11" w:history="1">
        <w:r w:rsidRPr="0044652C">
          <w:rPr>
            <w:rStyle w:val="Hipervnculo"/>
          </w:rPr>
          <w:t>sitio de la EOL</w:t>
        </w:r>
      </w:hyperlink>
    </w:p>
  </w:footnote>
  <w:footnote w:id="21">
    <w:p w:rsidR="000C123C" w:rsidRDefault="000C123C">
      <w:pPr>
        <w:pStyle w:val="Textonotapie"/>
      </w:pPr>
      <w:r>
        <w:rPr>
          <w:rStyle w:val="Refdenotaalpie"/>
        </w:rPr>
        <w:footnoteRef/>
      </w:r>
      <w:r>
        <w:t xml:space="preserve">  Colette Soler, “</w:t>
      </w:r>
      <w:r w:rsidRPr="000C123C">
        <w:rPr>
          <w:i/>
        </w:rPr>
        <w:t>Los afectos lacanianos</w:t>
      </w:r>
      <w:r>
        <w:t>”, Editorial Letra Viva, página 126</w:t>
      </w:r>
    </w:p>
    <w:p w:rsidR="000C123C" w:rsidRDefault="000C123C">
      <w:pPr>
        <w:pStyle w:val="Textonotapie"/>
      </w:pPr>
      <w:r>
        <w:t>Citado correctamente en la versión francesa “</w:t>
      </w:r>
      <w:r w:rsidRPr="000C123C">
        <w:rPr>
          <w:i/>
        </w:rPr>
        <w:t xml:space="preserve">Les </w:t>
      </w:r>
      <w:proofErr w:type="spellStart"/>
      <w:r w:rsidRPr="000C123C">
        <w:rPr>
          <w:i/>
        </w:rPr>
        <w:t>affects</w:t>
      </w:r>
      <w:proofErr w:type="spellEnd"/>
      <w:r w:rsidRPr="000C123C">
        <w:rPr>
          <w:i/>
        </w:rPr>
        <w:t xml:space="preserve"> </w:t>
      </w:r>
      <w:proofErr w:type="spellStart"/>
      <w:r w:rsidRPr="000C123C">
        <w:rPr>
          <w:i/>
        </w:rPr>
        <w:t>lacaniens</w:t>
      </w:r>
      <w:proofErr w:type="spellEnd"/>
      <w:r>
        <w:t>”, Ed. PUF, página 135</w:t>
      </w:r>
    </w:p>
  </w:footnote>
  <w:footnote w:id="22">
    <w:p w:rsidR="00FC0F2C" w:rsidRDefault="00FC0F2C">
      <w:pPr>
        <w:pStyle w:val="Textonotapie"/>
      </w:pPr>
      <w:r>
        <w:rPr>
          <w:rStyle w:val="Refdenotaalpie"/>
        </w:rPr>
        <w:footnoteRef/>
      </w:r>
      <w:r>
        <w:t xml:space="preserve">  S</w:t>
      </w:r>
      <w:r w:rsidRPr="00FD7E8A">
        <w:t>obre todo teniendo en cuenta que no se trata de la traducción de un pasaje de texto de Soler, sino de una cita de Lacan</w:t>
      </w:r>
    </w:p>
  </w:footnote>
  <w:footnote w:id="23">
    <w:p w:rsidR="00FC0F2C" w:rsidRDefault="00FC0F2C">
      <w:pPr>
        <w:pStyle w:val="Textonotapie"/>
      </w:pPr>
      <w:r>
        <w:rPr>
          <w:rStyle w:val="Refdenotaalpie"/>
        </w:rPr>
        <w:footnoteRef/>
      </w:r>
      <w:r>
        <w:t xml:space="preserve">  A</w:t>
      </w:r>
      <w:r w:rsidRPr="00FD7E8A">
        <w:t>l menos desde julio de 2009, puesto que para esa fecha la incluye en su blog : ver </w:t>
      </w:r>
      <w:hyperlink r:id="rId12" w:tgtFrame="display" w:history="1">
        <w:r w:rsidRPr="00FD7E8A">
          <w:rPr>
            <w:rStyle w:val="Hipervnculo"/>
          </w:rPr>
          <w:t>aquí</w:t>
        </w:r>
      </w:hyperlink>
    </w:p>
  </w:footnote>
  <w:footnote w:id="24">
    <w:p w:rsidR="00FC0F2C" w:rsidRDefault="00FC0F2C">
      <w:pPr>
        <w:pStyle w:val="Textonotapie"/>
      </w:pPr>
      <w:r>
        <w:rPr>
          <w:rStyle w:val="Refdenotaalpie"/>
        </w:rPr>
        <w:footnoteRef/>
      </w:r>
      <w:r>
        <w:t xml:space="preserve">  Ver análisis del mismo en “</w:t>
      </w:r>
      <w:hyperlink r:id="rId13" w:history="1">
        <w:r w:rsidRPr="00380F3B">
          <w:rPr>
            <w:rStyle w:val="Hipervnculo"/>
          </w:rPr>
          <w:t>El ‘afecto’ del analista</w:t>
        </w:r>
      </w:hyperlink>
      <w:r>
        <w:t>”.</w:t>
      </w:r>
    </w:p>
  </w:footnote>
  <w:footnote w:id="25">
    <w:p w:rsidR="00FC0F2C" w:rsidRDefault="00FC0F2C">
      <w:pPr>
        <w:pStyle w:val="Textonotapie"/>
      </w:pPr>
      <w:r>
        <w:rPr>
          <w:rStyle w:val="Refdenotaalpie"/>
        </w:rPr>
        <w:footnoteRef/>
      </w:r>
      <w:r>
        <w:t xml:space="preserve">  </w:t>
      </w:r>
      <w:r w:rsidRPr="001B609D">
        <w:t>Ver en el sitio de la EOL (</w:t>
      </w:r>
      <w:hyperlink r:id="rId14" w:tgtFrame="display" w:history="1">
        <w:r w:rsidRPr="001B609D">
          <w:rPr>
            <w:rStyle w:val="Hipervnculo"/>
          </w:rPr>
          <w:t>aquí</w:t>
        </w:r>
      </w:hyperlink>
      <w:r w:rsidRPr="001B609D">
        <w:t>)</w:t>
      </w:r>
    </w:p>
  </w:footnote>
  <w:footnote w:id="26">
    <w:p w:rsidR="00FC0F2C" w:rsidRDefault="00FC0F2C">
      <w:pPr>
        <w:pStyle w:val="Textonotapie"/>
      </w:pPr>
      <w:r>
        <w:rPr>
          <w:rStyle w:val="Refdenotaalpie"/>
        </w:rPr>
        <w:footnoteRef/>
      </w:r>
      <w:r>
        <w:t xml:space="preserve">  </w:t>
      </w:r>
      <w:r w:rsidRPr="001B609D">
        <w:t xml:space="preserve">Claro que, conociendo la actitud sumisa y disciplinada que los seguidores de </w:t>
      </w:r>
      <w:r>
        <w:t>Miller</w:t>
      </w:r>
      <w:r w:rsidRPr="001B609D">
        <w:t xml:space="preserve"> han tenido, históricamente, ante todos los problemas de establecimiento del texto que se han planteado respecto a los Seminarios, o los problemas de traducción de los "Escritos", no debería sorprendernos que dicha actitud prosiga, incluso ante alteraciones tan groseras como esta, de los escritos de Lacan</w:t>
      </w:r>
    </w:p>
  </w:footnote>
  <w:footnote w:id="27">
    <w:p w:rsidR="00FC0F2C" w:rsidRDefault="00FC0F2C">
      <w:pPr>
        <w:pStyle w:val="Textonotapie"/>
      </w:pPr>
      <w:r>
        <w:rPr>
          <w:rStyle w:val="Refdenotaalpie"/>
        </w:rPr>
        <w:footnoteRef/>
      </w:r>
      <w:r>
        <w:t xml:space="preserve">  Aquí también tenemos algunos matices a tomar en cuenta. La palabra “</w:t>
      </w:r>
      <w:proofErr w:type="spellStart"/>
      <w:r>
        <w:t>rebut</w:t>
      </w:r>
      <w:proofErr w:type="spellEnd"/>
      <w:r>
        <w:t xml:space="preserve">”, en francés, tiene también un sentido de rechazo o descarte más fuerte que el que puede asociarse al término castellano “desecho”. </w:t>
      </w:r>
      <w:r w:rsidRPr="00623964">
        <w:t>En francés, “</w:t>
      </w:r>
      <w:proofErr w:type="spellStart"/>
      <w:r w:rsidRPr="00623964">
        <w:t>rebut</w:t>
      </w:r>
      <w:proofErr w:type="spellEnd"/>
      <w:r w:rsidRPr="00623964">
        <w:t>” significa también « </w:t>
      </w:r>
      <w:proofErr w:type="spellStart"/>
      <w:r w:rsidRPr="00595240">
        <w:rPr>
          <w:i/>
        </w:rPr>
        <w:t>Action</w:t>
      </w:r>
      <w:proofErr w:type="spellEnd"/>
      <w:r w:rsidRPr="00595240">
        <w:rPr>
          <w:i/>
        </w:rPr>
        <w:t xml:space="preserve"> de </w:t>
      </w:r>
      <w:proofErr w:type="spellStart"/>
      <w:r w:rsidRPr="00595240">
        <w:rPr>
          <w:i/>
        </w:rPr>
        <w:t>repousser</w:t>
      </w:r>
      <w:proofErr w:type="spellEnd"/>
      <w:r w:rsidRPr="00595240">
        <w:rPr>
          <w:i/>
        </w:rPr>
        <w:t xml:space="preserve"> </w:t>
      </w:r>
      <w:proofErr w:type="spellStart"/>
      <w:r w:rsidRPr="00595240">
        <w:rPr>
          <w:i/>
        </w:rPr>
        <w:t>d'une</w:t>
      </w:r>
      <w:proofErr w:type="spellEnd"/>
      <w:r w:rsidRPr="00595240">
        <w:rPr>
          <w:i/>
        </w:rPr>
        <w:t xml:space="preserve"> </w:t>
      </w:r>
      <w:proofErr w:type="spellStart"/>
      <w:r w:rsidRPr="00595240">
        <w:rPr>
          <w:i/>
        </w:rPr>
        <w:t>façon</w:t>
      </w:r>
      <w:proofErr w:type="spellEnd"/>
      <w:r w:rsidRPr="00595240">
        <w:rPr>
          <w:i/>
        </w:rPr>
        <w:t xml:space="preserve"> </w:t>
      </w:r>
      <w:proofErr w:type="spellStart"/>
      <w:r w:rsidRPr="00595240">
        <w:rPr>
          <w:i/>
        </w:rPr>
        <w:t>humiliante</w:t>
      </w:r>
      <w:proofErr w:type="spellEnd"/>
      <w:r w:rsidRPr="00623964">
        <w:t> » (</w:t>
      </w:r>
      <w:r>
        <w:t>“</w:t>
      </w:r>
      <w:r w:rsidRPr="00623964">
        <w:t>acción de rechazar de modo humillante</w:t>
      </w:r>
      <w:r>
        <w:t>”</w:t>
      </w:r>
      <w:r w:rsidRPr="00623964">
        <w:t>), « </w:t>
      </w:r>
      <w:r w:rsidRPr="00595240">
        <w:rPr>
          <w:i/>
        </w:rPr>
        <w:t xml:space="preserve">Sans </w:t>
      </w:r>
      <w:proofErr w:type="spellStart"/>
      <w:r w:rsidRPr="00595240">
        <w:rPr>
          <w:i/>
        </w:rPr>
        <w:t>valeur</w:t>
      </w:r>
      <w:proofErr w:type="spellEnd"/>
      <w:r w:rsidRPr="00595240">
        <w:rPr>
          <w:i/>
        </w:rPr>
        <w:t xml:space="preserve">, bon à </w:t>
      </w:r>
      <w:proofErr w:type="spellStart"/>
      <w:r w:rsidRPr="00595240">
        <w:rPr>
          <w:i/>
        </w:rPr>
        <w:t>jeter</w:t>
      </w:r>
      <w:proofErr w:type="spellEnd"/>
      <w:r w:rsidRPr="00623964">
        <w:t> » (</w:t>
      </w:r>
      <w:r>
        <w:t>“</w:t>
      </w:r>
      <w:r w:rsidRPr="00623964">
        <w:t>sin valor, bueno para nada, o para descarte</w:t>
      </w:r>
      <w:r>
        <w:t>”</w:t>
      </w:r>
      <w:r w:rsidRPr="00623964">
        <w:t>), «</w:t>
      </w:r>
      <w:r w:rsidRPr="00595240">
        <w:rPr>
          <w:i/>
        </w:rPr>
        <w:t xml:space="preserve">Ce </w:t>
      </w:r>
      <w:proofErr w:type="spellStart"/>
      <w:r w:rsidRPr="00595240">
        <w:rPr>
          <w:i/>
        </w:rPr>
        <w:t>qu'il</w:t>
      </w:r>
      <w:proofErr w:type="spellEnd"/>
      <w:r w:rsidRPr="00595240">
        <w:rPr>
          <w:i/>
        </w:rPr>
        <w:t xml:space="preserve"> y a de plus vil</w:t>
      </w:r>
      <w:r w:rsidRPr="00623964">
        <w:t> »</w:t>
      </w:r>
      <w:r>
        <w:t xml:space="preserve"> (“lo que hay de más vil”).</w:t>
      </w:r>
    </w:p>
    <w:p w:rsidR="00FC0F2C" w:rsidRPr="00623964" w:rsidRDefault="00FC0F2C">
      <w:pPr>
        <w:pStyle w:val="Textonotapie"/>
      </w:pPr>
      <w:r>
        <w:t xml:space="preserve">Acuerdo con la traducción por “desecho”, pero creo que este es uno de esos casos en que </w:t>
      </w:r>
      <w:proofErr w:type="spellStart"/>
      <w:r>
        <w:t>valdía</w:t>
      </w:r>
      <w:proofErr w:type="spellEnd"/>
      <w:r>
        <w:t xml:space="preserve"> una aclaración de este tipo, por parte del traductor</w:t>
      </w:r>
      <w:r w:rsidRPr="00623964">
        <w:t> </w:t>
      </w:r>
    </w:p>
  </w:footnote>
  <w:footnote w:id="28">
    <w:p w:rsidR="00FC0F2C" w:rsidRDefault="00FC0F2C">
      <w:pPr>
        <w:pStyle w:val="Textonotapie"/>
      </w:pPr>
      <w:r>
        <w:rPr>
          <w:rStyle w:val="Refdenotaalpie"/>
        </w:rPr>
        <w:footnoteRef/>
      </w:r>
      <w:r>
        <w:t xml:space="preserve">  </w:t>
      </w:r>
      <w:r w:rsidRPr="001B609D">
        <w:t>Jacques Lacan, "</w:t>
      </w:r>
      <w:r w:rsidRPr="001B609D">
        <w:rPr>
          <w:i/>
          <w:iCs/>
        </w:rPr>
        <w:t>Nota italiana</w:t>
      </w:r>
      <w:r w:rsidRPr="001B609D">
        <w:t>", en "</w:t>
      </w:r>
      <w:hyperlink r:id="rId15" w:tgtFrame="display" w:history="1">
        <w:r w:rsidRPr="001B609D">
          <w:rPr>
            <w:rStyle w:val="Hipervnculo"/>
            <w:i/>
            <w:iCs/>
          </w:rPr>
          <w:t>Otros escritos</w:t>
        </w:r>
      </w:hyperlink>
      <w:r w:rsidRPr="001B609D">
        <w:t>", Editorial Paidós, página 329</w:t>
      </w:r>
    </w:p>
  </w:footnote>
  <w:footnote w:id="29">
    <w:p w:rsidR="00FC0F2C" w:rsidRPr="00932CCE" w:rsidRDefault="00FC0F2C">
      <w:pPr>
        <w:pStyle w:val="Textonotapie"/>
        <w:rPr>
          <w:lang w:val="fr-FR"/>
        </w:rPr>
      </w:pPr>
      <w:r>
        <w:rPr>
          <w:rStyle w:val="Refdenotaalpie"/>
        </w:rPr>
        <w:footnoteRef/>
      </w:r>
      <w:r w:rsidRPr="00932CCE">
        <w:rPr>
          <w:lang w:val="fr-FR"/>
        </w:rPr>
        <w:t xml:space="preserve">  Jacques Lacan, "</w:t>
      </w:r>
      <w:r w:rsidRPr="00932CCE">
        <w:rPr>
          <w:i/>
          <w:iCs/>
          <w:lang w:val="fr-FR"/>
        </w:rPr>
        <w:t>Note italienne</w:t>
      </w:r>
      <w:r w:rsidRPr="00932CCE">
        <w:rPr>
          <w:lang w:val="fr-FR"/>
        </w:rPr>
        <w:t>", en "</w:t>
      </w:r>
      <w:r w:rsidRPr="00932CCE">
        <w:rPr>
          <w:i/>
          <w:iCs/>
          <w:lang w:val="fr-FR"/>
        </w:rPr>
        <w:t>Autres écrits</w:t>
      </w:r>
      <w:r>
        <w:rPr>
          <w:lang w:val="fr-FR"/>
        </w:rPr>
        <w:t>", Edition Seuil, página 308</w:t>
      </w:r>
    </w:p>
  </w:footnote>
  <w:footnote w:id="30">
    <w:p w:rsidR="00595240" w:rsidRDefault="00595240">
      <w:pPr>
        <w:pStyle w:val="Textonotapie"/>
      </w:pPr>
      <w:r>
        <w:rPr>
          <w:rStyle w:val="Refdenotaalpie"/>
        </w:rPr>
        <w:footnoteRef/>
      </w:r>
      <w:r>
        <w:t xml:space="preserve">  Ver traducción de Gallano y Mira en </w:t>
      </w:r>
      <w:r w:rsidRPr="00595240">
        <w:t xml:space="preserve">internet en el </w:t>
      </w:r>
      <w:hyperlink r:id="rId16" w:history="1">
        <w:r w:rsidRPr="00595240">
          <w:rPr>
            <w:rStyle w:val="Hipervnculo"/>
          </w:rPr>
          <w:t>sitio de la EOL</w:t>
        </w:r>
      </w:hyperlink>
    </w:p>
  </w:footnote>
  <w:footnote w:id="31">
    <w:p w:rsidR="002E380B" w:rsidRDefault="002E380B">
      <w:pPr>
        <w:pStyle w:val="Textonotapie"/>
      </w:pPr>
      <w:r>
        <w:rPr>
          <w:rStyle w:val="Refdenotaalpie"/>
        </w:rPr>
        <w:footnoteRef/>
      </w:r>
      <w:r>
        <w:t xml:space="preserve">  </w:t>
      </w:r>
      <w:r w:rsidRPr="002E380B">
        <w:t>Jacques Lacan, "</w:t>
      </w:r>
      <w:r w:rsidRPr="002E380B">
        <w:rPr>
          <w:i/>
          <w:iCs/>
        </w:rPr>
        <w:t>Observaciones sobre el informe de Daniel Lagache</w:t>
      </w:r>
      <w:r w:rsidRPr="002E380B">
        <w:t>", Escritos II</w:t>
      </w:r>
      <w:r>
        <w:t>, Siglo XXI Editores, página 630</w:t>
      </w:r>
    </w:p>
  </w:footnote>
  <w:footnote w:id="32">
    <w:p w:rsidR="002E380B" w:rsidRDefault="002E380B">
      <w:pPr>
        <w:pStyle w:val="Textonotapie"/>
      </w:pPr>
      <w:r>
        <w:rPr>
          <w:rStyle w:val="Refdenotaalpie"/>
        </w:rPr>
        <w:footnoteRef/>
      </w:r>
      <w:r>
        <w:t xml:space="preserve">  Jacques Lacan, “El psicoanálisis. Razón de un fracaso”, en “Otros escritos”, Editorial Paidós, página 362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0953"/>
    <w:multiLevelType w:val="hybridMultilevel"/>
    <w:tmpl w:val="E20EE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FD70286"/>
    <w:multiLevelType w:val="hybridMultilevel"/>
    <w:tmpl w:val="5156B97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CB"/>
    <w:rsid w:val="00011595"/>
    <w:rsid w:val="00034C93"/>
    <w:rsid w:val="00060509"/>
    <w:rsid w:val="00074085"/>
    <w:rsid w:val="000B6DCD"/>
    <w:rsid w:val="000C123C"/>
    <w:rsid w:val="000C67E8"/>
    <w:rsid w:val="000D783C"/>
    <w:rsid w:val="000F0339"/>
    <w:rsid w:val="001706BF"/>
    <w:rsid w:val="001711ED"/>
    <w:rsid w:val="00175F15"/>
    <w:rsid w:val="001B609D"/>
    <w:rsid w:val="001E5CCE"/>
    <w:rsid w:val="001E6647"/>
    <w:rsid w:val="002741ED"/>
    <w:rsid w:val="002A6CA2"/>
    <w:rsid w:val="002D0C43"/>
    <w:rsid w:val="002E380B"/>
    <w:rsid w:val="002F52D8"/>
    <w:rsid w:val="00324897"/>
    <w:rsid w:val="00380F3B"/>
    <w:rsid w:val="003843C8"/>
    <w:rsid w:val="00390205"/>
    <w:rsid w:val="00392DF7"/>
    <w:rsid w:val="003A7DAC"/>
    <w:rsid w:val="003C7030"/>
    <w:rsid w:val="003E620C"/>
    <w:rsid w:val="004129EA"/>
    <w:rsid w:val="00413026"/>
    <w:rsid w:val="00434963"/>
    <w:rsid w:val="0044652C"/>
    <w:rsid w:val="00455129"/>
    <w:rsid w:val="004C66B1"/>
    <w:rsid w:val="004E5D76"/>
    <w:rsid w:val="005502E2"/>
    <w:rsid w:val="00595240"/>
    <w:rsid w:val="005E523C"/>
    <w:rsid w:val="005F7B1E"/>
    <w:rsid w:val="00623964"/>
    <w:rsid w:val="0063724D"/>
    <w:rsid w:val="00660FAD"/>
    <w:rsid w:val="00661C57"/>
    <w:rsid w:val="006709A5"/>
    <w:rsid w:val="006F2A36"/>
    <w:rsid w:val="006F6897"/>
    <w:rsid w:val="00713049"/>
    <w:rsid w:val="00717315"/>
    <w:rsid w:val="007423FE"/>
    <w:rsid w:val="0078070C"/>
    <w:rsid w:val="007B4F2A"/>
    <w:rsid w:val="008105AB"/>
    <w:rsid w:val="00826472"/>
    <w:rsid w:val="0088479F"/>
    <w:rsid w:val="008877C3"/>
    <w:rsid w:val="008C1E32"/>
    <w:rsid w:val="00932CCE"/>
    <w:rsid w:val="009863CB"/>
    <w:rsid w:val="009A1E22"/>
    <w:rsid w:val="00A05676"/>
    <w:rsid w:val="00A62CC0"/>
    <w:rsid w:val="00AA6E64"/>
    <w:rsid w:val="00AA7FA7"/>
    <w:rsid w:val="00AB41EE"/>
    <w:rsid w:val="00AE355C"/>
    <w:rsid w:val="00AF39D8"/>
    <w:rsid w:val="00AF60BA"/>
    <w:rsid w:val="00B234E8"/>
    <w:rsid w:val="00B75AAE"/>
    <w:rsid w:val="00BC7D8C"/>
    <w:rsid w:val="00BE179F"/>
    <w:rsid w:val="00C15639"/>
    <w:rsid w:val="00C172A8"/>
    <w:rsid w:val="00C34C94"/>
    <w:rsid w:val="00C63EDD"/>
    <w:rsid w:val="00C9733F"/>
    <w:rsid w:val="00D05090"/>
    <w:rsid w:val="00D06C05"/>
    <w:rsid w:val="00D11069"/>
    <w:rsid w:val="00D72514"/>
    <w:rsid w:val="00D7477C"/>
    <w:rsid w:val="00D760A7"/>
    <w:rsid w:val="00D97447"/>
    <w:rsid w:val="00DA5368"/>
    <w:rsid w:val="00DC6524"/>
    <w:rsid w:val="00DD7338"/>
    <w:rsid w:val="00DE0546"/>
    <w:rsid w:val="00E32FD3"/>
    <w:rsid w:val="00E558E4"/>
    <w:rsid w:val="00E73079"/>
    <w:rsid w:val="00E96CE1"/>
    <w:rsid w:val="00EA3375"/>
    <w:rsid w:val="00EA71B0"/>
    <w:rsid w:val="00EC0489"/>
    <w:rsid w:val="00F2674A"/>
    <w:rsid w:val="00FC0F2C"/>
    <w:rsid w:val="00FD7E8A"/>
    <w:rsid w:val="00FE2C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05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0509"/>
    <w:rPr>
      <w:sz w:val="20"/>
      <w:szCs w:val="20"/>
    </w:rPr>
  </w:style>
  <w:style w:type="character" w:styleId="Refdenotaalpie">
    <w:name w:val="footnote reference"/>
    <w:basedOn w:val="Fuentedeprrafopredeter"/>
    <w:uiPriority w:val="99"/>
    <w:semiHidden/>
    <w:unhideWhenUsed/>
    <w:rsid w:val="00060509"/>
    <w:rPr>
      <w:vertAlign w:val="superscript"/>
    </w:rPr>
  </w:style>
  <w:style w:type="character" w:styleId="Hipervnculo">
    <w:name w:val="Hyperlink"/>
    <w:basedOn w:val="Fuentedeprrafopredeter"/>
    <w:uiPriority w:val="99"/>
    <w:unhideWhenUsed/>
    <w:rsid w:val="00060509"/>
    <w:rPr>
      <w:color w:val="0000FF" w:themeColor="hyperlink"/>
      <w:u w:val="single"/>
    </w:rPr>
  </w:style>
  <w:style w:type="paragraph" w:styleId="Encabezado">
    <w:name w:val="header"/>
    <w:basedOn w:val="Normal"/>
    <w:link w:val="EncabezadoCar"/>
    <w:uiPriority w:val="99"/>
    <w:unhideWhenUsed/>
    <w:rsid w:val="006F6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897"/>
  </w:style>
  <w:style w:type="paragraph" w:styleId="Piedepgina">
    <w:name w:val="footer"/>
    <w:basedOn w:val="Normal"/>
    <w:link w:val="PiedepginaCar"/>
    <w:uiPriority w:val="99"/>
    <w:unhideWhenUsed/>
    <w:rsid w:val="006F6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897"/>
  </w:style>
  <w:style w:type="paragraph" w:styleId="Textodeglobo">
    <w:name w:val="Balloon Text"/>
    <w:basedOn w:val="Normal"/>
    <w:link w:val="TextodegloboCar"/>
    <w:uiPriority w:val="99"/>
    <w:semiHidden/>
    <w:unhideWhenUsed/>
    <w:rsid w:val="006F6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897"/>
    <w:rPr>
      <w:rFonts w:ascii="Tahoma" w:hAnsi="Tahoma" w:cs="Tahoma"/>
      <w:sz w:val="16"/>
      <w:szCs w:val="16"/>
    </w:rPr>
  </w:style>
  <w:style w:type="paragraph" w:styleId="Prrafodelista">
    <w:name w:val="List Paragraph"/>
    <w:basedOn w:val="Normal"/>
    <w:uiPriority w:val="34"/>
    <w:qFormat/>
    <w:rsid w:val="002D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05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0509"/>
    <w:rPr>
      <w:sz w:val="20"/>
      <w:szCs w:val="20"/>
    </w:rPr>
  </w:style>
  <w:style w:type="character" w:styleId="Refdenotaalpie">
    <w:name w:val="footnote reference"/>
    <w:basedOn w:val="Fuentedeprrafopredeter"/>
    <w:uiPriority w:val="99"/>
    <w:semiHidden/>
    <w:unhideWhenUsed/>
    <w:rsid w:val="00060509"/>
    <w:rPr>
      <w:vertAlign w:val="superscript"/>
    </w:rPr>
  </w:style>
  <w:style w:type="character" w:styleId="Hipervnculo">
    <w:name w:val="Hyperlink"/>
    <w:basedOn w:val="Fuentedeprrafopredeter"/>
    <w:uiPriority w:val="99"/>
    <w:unhideWhenUsed/>
    <w:rsid w:val="00060509"/>
    <w:rPr>
      <w:color w:val="0000FF" w:themeColor="hyperlink"/>
      <w:u w:val="single"/>
    </w:rPr>
  </w:style>
  <w:style w:type="paragraph" w:styleId="Encabezado">
    <w:name w:val="header"/>
    <w:basedOn w:val="Normal"/>
    <w:link w:val="EncabezadoCar"/>
    <w:uiPriority w:val="99"/>
    <w:unhideWhenUsed/>
    <w:rsid w:val="006F6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897"/>
  </w:style>
  <w:style w:type="paragraph" w:styleId="Piedepgina">
    <w:name w:val="footer"/>
    <w:basedOn w:val="Normal"/>
    <w:link w:val="PiedepginaCar"/>
    <w:uiPriority w:val="99"/>
    <w:unhideWhenUsed/>
    <w:rsid w:val="006F6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897"/>
  </w:style>
  <w:style w:type="paragraph" w:styleId="Textodeglobo">
    <w:name w:val="Balloon Text"/>
    <w:basedOn w:val="Normal"/>
    <w:link w:val="TextodegloboCar"/>
    <w:uiPriority w:val="99"/>
    <w:semiHidden/>
    <w:unhideWhenUsed/>
    <w:rsid w:val="006F6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897"/>
    <w:rPr>
      <w:rFonts w:ascii="Tahoma" w:hAnsi="Tahoma" w:cs="Tahoma"/>
      <w:sz w:val="16"/>
      <w:szCs w:val="16"/>
    </w:rPr>
  </w:style>
  <w:style w:type="paragraph" w:styleId="Prrafodelista">
    <w:name w:val="List Paragraph"/>
    <w:basedOn w:val="Normal"/>
    <w:uiPriority w:val="34"/>
    <w:qFormat/>
    <w:rsid w:val="002D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8985">
      <w:bodyDiv w:val="1"/>
      <w:marLeft w:val="0"/>
      <w:marRight w:val="0"/>
      <w:marTop w:val="0"/>
      <w:marBottom w:val="0"/>
      <w:divBdr>
        <w:top w:val="none" w:sz="0" w:space="0" w:color="auto"/>
        <w:left w:val="none" w:sz="0" w:space="0" w:color="auto"/>
        <w:bottom w:val="none" w:sz="0" w:space="0" w:color="auto"/>
        <w:right w:val="none" w:sz="0" w:space="0" w:color="auto"/>
      </w:divBdr>
    </w:div>
    <w:div w:id="535318005">
      <w:bodyDiv w:val="1"/>
      <w:marLeft w:val="0"/>
      <w:marRight w:val="0"/>
      <w:marTop w:val="0"/>
      <w:marBottom w:val="0"/>
      <w:divBdr>
        <w:top w:val="none" w:sz="0" w:space="0" w:color="auto"/>
        <w:left w:val="none" w:sz="0" w:space="0" w:color="auto"/>
        <w:bottom w:val="none" w:sz="0" w:space="0" w:color="auto"/>
        <w:right w:val="none" w:sz="0" w:space="0" w:color="auto"/>
      </w:divBdr>
    </w:div>
    <w:div w:id="654842523">
      <w:bodyDiv w:val="1"/>
      <w:marLeft w:val="0"/>
      <w:marRight w:val="0"/>
      <w:marTop w:val="0"/>
      <w:marBottom w:val="0"/>
      <w:divBdr>
        <w:top w:val="none" w:sz="0" w:space="0" w:color="auto"/>
        <w:left w:val="none" w:sz="0" w:space="0" w:color="auto"/>
        <w:bottom w:val="none" w:sz="0" w:space="0" w:color="auto"/>
        <w:right w:val="none" w:sz="0" w:space="0" w:color="auto"/>
      </w:divBdr>
    </w:div>
    <w:div w:id="8077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placanienfrance.net/IMG/pdf/Note_italienn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e-lacanienne.net/documents/1974-04-00.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breriapaidos.com/9789871228393/NOTODO+DE+LACAN,+EL/?vienede=Psiconet" TargetMode="External"/><Relationship Id="rId13" Type="http://schemas.openxmlformats.org/officeDocument/2006/relationships/hyperlink" Target="http://www.sauval.com/articulos/afecto.htm" TargetMode="External"/><Relationship Id="rId3" Type="http://schemas.openxmlformats.org/officeDocument/2006/relationships/hyperlink" Target="http://www.acheronta.org" TargetMode="External"/><Relationship Id="rId7" Type="http://schemas.openxmlformats.org/officeDocument/2006/relationships/hyperlink" Target="http://www.libreriapaidos.com/9789501239980/OTROS+ESCRITOS/?vienede=psiconet" TargetMode="External"/><Relationship Id="rId12" Type="http://schemas.openxmlformats.org/officeDocument/2006/relationships/hyperlink" Target="http://elpsicoanalistalector.blogspot.com.ar/2009/07/jacques-lacan-nota-italiana-abril-de.html" TargetMode="External"/><Relationship Id="rId2" Type="http://schemas.openxmlformats.org/officeDocument/2006/relationships/hyperlink" Target="http://www.psicomundo.com/libros/presentaciones/pasternac-bo.htm" TargetMode="External"/><Relationship Id="rId16" Type="http://schemas.openxmlformats.org/officeDocument/2006/relationships/hyperlink" Target="http://www.eol.org.ar/template.asp?Sec=el_pase&amp;SubSec=articulos&amp;File=articulos/lacan_italiana.html" TargetMode="External"/><Relationship Id="rId1" Type="http://schemas.openxmlformats.org/officeDocument/2006/relationships/hyperlink" Target="http://www.psicomundo.com/libros/presentaciones/pasternac.htm" TargetMode="External"/><Relationship Id="rId6" Type="http://schemas.openxmlformats.org/officeDocument/2006/relationships/hyperlink" Target="http://www.sauval.com/articulos/autorizaanexo.htm" TargetMode="External"/><Relationship Id="rId11" Type="http://schemas.openxmlformats.org/officeDocument/2006/relationships/hyperlink" Target="http://www.eol.org.ar/template.asp?Sec=el_pase&amp;SubSec=articulos&amp;File=articulos/lacan_italiana.html" TargetMode="External"/><Relationship Id="rId5" Type="http://schemas.openxmlformats.org/officeDocument/2006/relationships/hyperlink" Target="http://www.sauval.com/articulos/autorizaanexo.htm" TargetMode="External"/><Relationship Id="rId15" Type="http://schemas.openxmlformats.org/officeDocument/2006/relationships/hyperlink" Target="http://www.libreriapaidos.com/9789501239980/OTROS+ESCRITOS/?vienede=psiconet" TargetMode="External"/><Relationship Id="rId10" Type="http://schemas.openxmlformats.org/officeDocument/2006/relationships/hyperlink" Target="http://www.acheronta.org/" TargetMode="External"/><Relationship Id="rId4" Type="http://schemas.openxmlformats.org/officeDocument/2006/relationships/hyperlink" Target="http://www.libreriapaidos.com/9789501239980/OTROS+ESCRITOS/?vienede=psiconet" TargetMode="External"/><Relationship Id="rId9" Type="http://schemas.openxmlformats.org/officeDocument/2006/relationships/hyperlink" Target="http://www.acheronta.org/analista25.htm" TargetMode="External"/><Relationship Id="rId14" Type="http://schemas.openxmlformats.org/officeDocument/2006/relationships/hyperlink" Target="http://www.eol.org.ar/template.asp?Sec=el_pase&amp;SubSec=articulos&amp;File=articulos/lacan_italia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10</Pages>
  <Words>3342</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Michel</cp:lastModifiedBy>
  <cp:revision>45</cp:revision>
  <cp:lastPrinted>2013-09-19T21:44:00Z</cp:lastPrinted>
  <dcterms:created xsi:type="dcterms:W3CDTF">2013-09-19T10:57:00Z</dcterms:created>
  <dcterms:modified xsi:type="dcterms:W3CDTF">2013-10-03T21:51:00Z</dcterms:modified>
</cp:coreProperties>
</file>